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640" w:right="1600" w:hanging="3632"/>
        <w:spacing w:after="0" w:line="344" w:lineRule="auto"/>
        <w:tabs>
          <w:tab w:leader="none" w:pos="47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2600" w:right="1600" w:hanging="2592"/>
        <w:spacing w:after="0" w:line="226" w:lineRule="auto"/>
        <w:tabs>
          <w:tab w:leader="none" w:pos="459"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46"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KYMERA THERAPEUTICS, INC.</w:t>
      </w:r>
    </w:p>
    <w:p>
      <w:pPr>
        <w:sectPr>
          <w:pgSz w:w="11900" w:h="16838" w:orient="portrait"/>
          <w:cols w:equalWidth="0" w:num="1">
            <w:col w:w="11240"/>
          </w:cols>
          <w:pgMar w:left="320" w:top="1334"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81-2992166</w:t>
      </w:r>
    </w:p>
    <w:p>
      <w:pPr>
        <w:spacing w:after="0" w:line="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53" w:lineRule="exact"/>
        <w:rPr>
          <w:sz w:val="24"/>
          <w:szCs w:val="24"/>
          <w:color w:val="auto"/>
        </w:rPr>
      </w:pPr>
    </w:p>
    <w:p>
      <w:pPr>
        <w:sectPr>
          <w:pgSz w:w="11900" w:h="16838" w:orient="portrait"/>
          <w:cols w:equalWidth="0" w:num="2">
            <w:col w:w="7700" w:space="160"/>
            <w:col w:w="3380"/>
          </w:cols>
          <w:pgMar w:left="320" w:top="1334" w:right="33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8"/>
          <w:szCs w:val="18"/>
          <w:b w:val="1"/>
          <w:bCs w:val="1"/>
          <w:color w:val="auto"/>
        </w:rPr>
        <w:t>500 North Beacon Street, 4th Floor</w:t>
      </w:r>
    </w:p>
    <w:p>
      <w:pPr>
        <w:spacing w:after="0" w:line="31" w:lineRule="exact"/>
        <w:rPr>
          <w:sz w:val="24"/>
          <w:szCs w:val="24"/>
          <w:color w:val="auto"/>
        </w:rPr>
      </w:pPr>
    </w:p>
    <w:p>
      <w:pPr>
        <w:ind w:left="17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Watertown, Massachusetts</w:t>
      </w:r>
      <w:r>
        <w:rPr>
          <w:sz w:val="20"/>
          <w:szCs w:val="20"/>
          <w:color w:val="auto"/>
        </w:rPr>
        <w:tab/>
      </w:r>
      <w:r>
        <w:rPr>
          <w:rFonts w:ascii="Times New Roman" w:cs="Times New Roman" w:eastAsia="Times New Roman" w:hAnsi="Times New Roman"/>
          <w:sz w:val="18"/>
          <w:szCs w:val="18"/>
          <w:b w:val="1"/>
          <w:bCs w:val="1"/>
          <w:color w:val="auto"/>
        </w:rPr>
        <w:t>02472</w:t>
      </w:r>
    </w:p>
    <w:p>
      <w:pPr>
        <w:spacing w:after="0" w:line="2"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5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KYMR</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49"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23, 2026, the registrant had 85,371,397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ind w:left="1303"/>
        <w:spacing w:after="0"/>
        <w:rPr>
          <w:sz w:val="20"/>
          <w:szCs w:val="20"/>
          <w:color w:val="auto"/>
        </w:rPr>
      </w:pPr>
      <w:r>
        <w:rPr>
          <w:rFonts w:ascii="Times New Roman" w:cs="Times New Roman" w:eastAsia="Times New Roman" w:hAnsi="Times New Roman"/>
          <w:sz w:val="18"/>
          <w:szCs w:val="18"/>
          <w:b w:val="1"/>
          <w:bCs w:val="1"/>
          <w:color w:val="auto"/>
        </w:rPr>
        <w:t>SUMMARY OF THE MATERIAL AND OTHER RISKS ASSOCIATED WITH OUR BUSINESS</w:t>
      </w:r>
    </w:p>
    <w:p>
      <w:pPr>
        <w:spacing w:after="0" w:line="337" w:lineRule="exact"/>
        <w:rPr>
          <w:sz w:val="20"/>
          <w:szCs w:val="20"/>
          <w:color w:val="auto"/>
        </w:rPr>
      </w:pPr>
    </w:p>
    <w:p>
      <w:pPr>
        <w:ind w:left="503" w:right="2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company and that may make it difficult for our stockholders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our product candidates, whether conducted by us or our collaborators, are in early clinical development. If we are unable to advance them through the clinic for safety or efficacy reasons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is novel and unproven, which makes it difficult to predict the time, cost of development and likelihood of successfully developing any products.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or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may materially and adversely affect our business and our financial results and could cause a disruption to the development of our product candidates.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global economic and geopolitical conditions may have serious adverse consequences on our business, financial condition, stock price and results of operations.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express or implied statements about:</w:t>
      </w:r>
    </w:p>
    <w:p>
      <w:pPr>
        <w:spacing w:after="0" w:line="187"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enable a rational and effective drug discovery and development engine;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the success of development efforts under the collaborations for our IRAK4 and CDK2 programs and clinical studies for our STAT6 and IRF5 programs;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submit investigational new drug applications (INDs) to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initiation of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research priorities and apply a risk-mitigated strategy to efficiently discover and develop product candidates, including by applying learnings from one program to other programs and from one modality to our other modalities;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manufacture our drug substances, delivery vehicles,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pandemics, geopolitical conflicts or new or increased international tariffs, including mitigation efforts and economic effects, on any of the foregoing or other aspects of our business operations, including but not limited to our preclinical studies and future clinical trials;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6"/>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8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373,374</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357,011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Marketable securities (Note 4)</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597,840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27,378</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22,938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998,592</w:t>
            </w:r>
          </w:p>
        </w:tc>
        <w:tc>
          <w:tcPr>
            <w:tcW w:w="140" w:type="dxa"/>
            <w:vAlign w:val="bottom"/>
          </w:tcPr>
          <w:p>
            <w:pPr>
              <w:spacing w:after="0"/>
              <w:rPr>
                <w:sz w:val="12"/>
                <w:szCs w:val="12"/>
                <w:color w:val="auto"/>
              </w:rPr>
            </w:pPr>
          </w:p>
        </w:tc>
        <w:tc>
          <w:tcPr>
            <w:tcW w:w="2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871,214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 non-current (Note 4)</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674,669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771,158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 (Note 6)</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38,242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operating leases</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40,444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42,351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6,209</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5,800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1,767,269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1,742,812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11,923</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Accrued expenses (Note 8)</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63,315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89,723</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83,212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67,034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16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152,742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163,148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3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as of September 30, 2026 and December 31, 2025; 0 shares issued and</w:t>
            </w:r>
          </w:p>
        </w:tc>
        <w:tc>
          <w:tcPr>
            <w:tcW w:w="16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outstanding as of September 30, 2026 and December 31, 2025</w:t>
            </w: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30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4"/>
                <w:szCs w:val="14"/>
                <w:color w:val="auto"/>
              </w:rPr>
              <w:t>Common stock, $0.0001 par value; 150,000,000 shares authorized at September 30, 2026 and December 31, 2025, 85,325,503 and</w:t>
            </w:r>
          </w:p>
        </w:tc>
        <w:tc>
          <w:tcPr>
            <w:tcW w:w="160" w:type="dxa"/>
            <w:vAlign w:val="bottom"/>
            <w:shd w:val="clear" w:color="auto" w:fill="CFF0FC"/>
          </w:tcPr>
          <w:p>
            <w:pPr>
              <w:spacing w:after="0"/>
              <w:rPr>
                <w:sz w:val="10"/>
                <w:szCs w:val="10"/>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81,323,532 shares issued and outstanding at September 30, 2026 and December 31, 2025, respectively</w:t>
            </w:r>
          </w:p>
        </w:tc>
        <w:tc>
          <w:tcPr>
            <w:tcW w:w="16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2,957,658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2,643,817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(1,328,405)</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(1,065,961)</w:t>
            </w: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16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(14,735)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1,614,527</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1,579,664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1,767,269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1,742,812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-3025140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-2451100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-128270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4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99,365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128,509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74,094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346,152</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147,232</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95,285</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406,359</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287,844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(147,232)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(92,521)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(306,994)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(131,999)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(82,175)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(262,444)</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(224,370)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(7,578)</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(139,577)</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(80,953)</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(278,979)</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vMerge w:val="restart"/>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(131,999)</w:t>
            </w:r>
          </w:p>
        </w:tc>
        <w:tc>
          <w:tcPr>
            <w:tcW w:w="24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(82,175)</w:t>
            </w:r>
          </w:p>
        </w:tc>
        <w:tc>
          <w:tcPr>
            <w:tcW w:w="26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(262,444)</w:t>
            </w:r>
          </w:p>
        </w:tc>
        <w:tc>
          <w:tcPr>
            <w:tcW w:w="1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(224,370)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(2.66)</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stock outstanding, basic and diluted</w:t>
            </w: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100,097,242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87,300,286</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98,612,278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82,653,142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-2656840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-2656840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-2656840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-2656840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-2099310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-2099310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-2099310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-2099310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-1250950</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-1250950</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-1250950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-1250950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-659765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-641985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-659765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-641985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-659765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-641985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-659765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-641985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-187960</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-170815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-187960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-187960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 and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00" w:type="dxa"/>
            <w:vAlign w:val="bottom"/>
            <w:gridSpan w:val="4"/>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2025</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70,557,442</w:t>
            </w:r>
          </w:p>
        </w:tc>
        <w:tc>
          <w:tcPr>
            <w:tcW w:w="900" w:type="dxa"/>
            <w:vAlign w:val="bottom"/>
            <w:gridSpan w:val="3"/>
            <w:shd w:val="clear" w:color="auto" w:fill="CFF0FC"/>
          </w:tcPr>
          <w:p>
            <w:pPr>
              <w:jc w:val="right"/>
              <w:ind w:right="4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1,867,999</w:t>
            </w:r>
          </w:p>
        </w:tc>
        <w:tc>
          <w:tcPr>
            <w:tcW w:w="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(896,805)</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971,480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from June 2025 public offering, net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855,000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35,376</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issuance costs of $2.2 million</w:t>
            </w: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275,484</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4,553</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53,248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employee stock purchase plan</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(82,175)</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(82,175)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2025</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71,741,174</w:t>
            </w:r>
          </w:p>
        </w:tc>
        <w:tc>
          <w:tcPr>
            <w:tcW w:w="1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gridSpan w:val="2"/>
            <w:shd w:val="clear" w:color="auto" w:fill="CFF0FC"/>
          </w:tcPr>
          <w:p>
            <w:pPr>
              <w:jc w:val="right"/>
              <w:ind w:right="456"/>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w:t>
            </w:r>
          </w:p>
        </w:tc>
        <w:tc>
          <w:tcPr>
            <w:tcW w:w="3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1,923,730</w:t>
            </w:r>
          </w:p>
        </w:tc>
        <w:tc>
          <w:tcPr>
            <w:tcW w:w="2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(978,980)</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1,501</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946,258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June 30, 2026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82,788,253</w:t>
            </w:r>
          </w:p>
        </w:tc>
        <w:tc>
          <w:tcPr>
            <w:tcW w:w="90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2,712,811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(1,196,406)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(7,157)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1,509,256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at-the-market sales</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2,032,140</w:t>
            </w: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215,392</w:t>
            </w: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215,393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agreement, net of issuance costs of $4.5 million</w:t>
            </w:r>
          </w:p>
        </w:tc>
        <w:tc>
          <w:tcPr>
            <w:tcW w:w="10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375,564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129,546</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18,837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(7,578)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(7,578)</w:t>
            </w:r>
          </w:p>
        </w:tc>
        <w:tc>
          <w:tcPr>
            <w:tcW w:w="0" w:type="dxa"/>
            <w:vAlign w:val="bottom"/>
          </w:tcPr>
          <w:p>
            <w:pPr>
              <w:spacing w:after="0"/>
              <w:rPr>
                <w:sz w:val="1"/>
                <w:szCs w:val="1"/>
                <w:color w:val="auto"/>
              </w:rPr>
            </w:pPr>
          </w:p>
        </w:tc>
      </w:tr>
      <w:tr>
        <w:trPr>
          <w:trHeight w:val="189"/>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(131,999)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(131,999)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2026</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85,325,503</w:t>
            </w:r>
          </w:p>
        </w:tc>
        <w:tc>
          <w:tcPr>
            <w:tcW w:w="320" w:type="dxa"/>
            <w:vAlign w:val="bottom"/>
            <w:tcBorders>
              <w:bottom w:val="single" w:sz="8" w:color="CFF0FC"/>
            </w:tcBorders>
            <w:gridSpan w:val="2"/>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w:t>
            </w:r>
          </w:p>
        </w:tc>
        <w:tc>
          <w:tcPr>
            <w:tcW w:w="3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2,957,658</w:t>
            </w:r>
          </w:p>
        </w:tc>
        <w:tc>
          <w:tcPr>
            <w:tcW w:w="2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(1,328,405)</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(14,735)</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1,614,527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-1028065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-1010920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-1028065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-1010920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-1028065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-1010920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-1028065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-1010920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-1028065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-1010920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-1028065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-1010920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-25400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-7620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-25400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-25400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81" w:right="3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 and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640" w:type="dxa"/>
            <w:vAlign w:val="bottom"/>
            <w:gridSpan w:val="3"/>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40" w:type="dxa"/>
            <w:vAlign w:val="bottom"/>
          </w:tcPr>
          <w:p>
            <w:pPr>
              <w:spacing w:after="0"/>
              <w:rPr>
                <w:sz w:val="13"/>
                <w:szCs w:val="13"/>
                <w:color w:val="auto"/>
              </w:rPr>
            </w:pPr>
          </w:p>
        </w:tc>
        <w:tc>
          <w:tcPr>
            <w:tcW w:w="164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8"/>
              <w:spacing w:after="0" w:line="16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9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64,890,193</w:t>
            </w:r>
          </w:p>
        </w:tc>
        <w:tc>
          <w:tcPr>
            <w:tcW w:w="720" w:type="dxa"/>
            <w:vAlign w:val="bottom"/>
            <w:gridSpan w:val="2"/>
            <w:shd w:val="clear" w:color="auto" w:fill="CFF0FC"/>
          </w:tcPr>
          <w:p>
            <w:pPr>
              <w:jc w:val="right"/>
              <w:ind w:right="4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1,591,707</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(754,610)</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(1,485)</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835,619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 warrants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5,899,500</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272,671</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272,671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from June 2025 public offering, net of issuance costs of $15.7 million</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629,222</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278,130</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employee stock purchase plan</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44,129</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45,451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(224,370)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(224,370)</w:t>
            </w:r>
          </w:p>
        </w:tc>
        <w:tc>
          <w:tcPr>
            <w:tcW w:w="0" w:type="dxa"/>
            <w:vAlign w:val="bottom"/>
          </w:tcPr>
          <w:p>
            <w:pPr>
              <w:spacing w:after="0"/>
              <w:rPr>
                <w:sz w:val="1"/>
                <w:szCs w:val="1"/>
                <w:color w:val="auto"/>
              </w:rPr>
            </w:pPr>
          </w:p>
        </w:tc>
      </w:tr>
      <w:tr>
        <w:trPr>
          <w:trHeight w:val="182"/>
        </w:trPr>
        <w:tc>
          <w:tcPr>
            <w:tcW w:w="40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2025</w:t>
            </w: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71,741,174</w:t>
            </w: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1,923,730</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(978,980)</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1,501</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946,258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81,323,532</w:t>
            </w:r>
          </w:p>
        </w:tc>
        <w:tc>
          <w:tcPr>
            <w:tcW w:w="720" w:type="dxa"/>
            <w:vAlign w:val="bottom"/>
            <w:gridSpan w:val="2"/>
          </w:tcPr>
          <w:p>
            <w:pPr>
              <w:jc w:val="right"/>
              <w:ind w:right="476"/>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2,643,817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(1,065,961)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1,579,664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0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at-the-market sales agreement, net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2,032,140</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215,392</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215,393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of issuance costs of $4.5 million</w:t>
            </w:r>
          </w:p>
        </w:tc>
        <w:tc>
          <w:tcPr>
            <w:tcW w:w="9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1,563,730</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43,195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380,149</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employee stock purchase plan</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25,952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53,782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53,782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(16,535)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(16,535)</w:t>
            </w: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(262,444)</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(262,444)</w:t>
            </w:r>
          </w:p>
        </w:tc>
        <w:tc>
          <w:tcPr>
            <w:tcW w:w="0" w:type="dxa"/>
            <w:vAlign w:val="bottom"/>
          </w:tcPr>
          <w:p>
            <w:pPr>
              <w:spacing w:after="0"/>
              <w:rPr>
                <w:sz w:val="1"/>
                <w:szCs w:val="1"/>
                <w:color w:val="auto"/>
              </w:rPr>
            </w:pPr>
          </w:p>
        </w:tc>
      </w:tr>
      <w:tr>
        <w:trPr>
          <w:trHeight w:val="142"/>
        </w:trPr>
        <w:tc>
          <w:tcPr>
            <w:tcW w:w="404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2026</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85,325,503</w:t>
            </w:r>
          </w:p>
        </w:tc>
        <w:tc>
          <w:tcPr>
            <w:tcW w:w="120" w:type="dxa"/>
            <w:vAlign w:val="bottom"/>
            <w:tcBorders>
              <w:top w:val="single" w:sz="8" w:color="CFF0FC"/>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w:t>
            </w: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2,957,658</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(1,328,405)</w:t>
            </w:r>
          </w:p>
        </w:tc>
        <w:tc>
          <w:tcPr>
            <w:tcW w:w="14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(14,735)</w:t>
            </w:r>
          </w:p>
        </w:tc>
        <w:tc>
          <w:tcPr>
            <w:tcW w:w="14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1,614,527</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-1096645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-1079500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-1096645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-1079500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-1096645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-1079500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-1096645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-1079500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-1096645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-1079500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-128270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-128270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-128270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-128270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-128270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 and 2025</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33"/>
        </w:trPr>
        <w:tc>
          <w:tcPr>
            <w:tcW w:w="7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9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(262,444)</w:t>
            </w: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(224,370)</w:t>
            </w: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53,782</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45,451</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Lease impairment charge</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6,075</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6,281</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Premiums and discounts on available-for-sale marketable securities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(6,664)</w:t>
            </w:r>
          </w:p>
        </w:tc>
        <w:tc>
          <w:tcPr>
            <w:tcW w:w="6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(6,834)</w:t>
            </w: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(4,440)</w:t>
            </w:r>
          </w:p>
        </w:tc>
        <w:tc>
          <w:tcPr>
            <w:tcW w:w="6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(2,039)</w:t>
            </w: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Contract asset</w:t>
            </w:r>
          </w:p>
        </w:tc>
        <w:tc>
          <w:tcPr>
            <w:tcW w:w="30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long term assets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(4,878)</w:t>
            </w: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7,908</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(483)</w:t>
            </w: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21,121</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(6,275)</w:t>
            </w: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(34,365)</w:t>
            </w:r>
          </w:p>
        </w:tc>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23,660</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(4,349)</w:t>
            </w:r>
          </w:p>
        </w:tc>
        <w:tc>
          <w:tcPr>
            <w:tcW w:w="6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(3,713)</w:t>
            </w:r>
          </w:p>
        </w:tc>
      </w:tr>
      <w:tr>
        <w:trPr>
          <w:trHeight w:val="203"/>
        </w:trPr>
        <w:tc>
          <w:tcPr>
            <w:tcW w:w="79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(220,818)</w:t>
            </w: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(166,144)</w:t>
            </w: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 net</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(1,222)</w:t>
            </w:r>
          </w:p>
        </w:tc>
        <w:tc>
          <w:tcPr>
            <w:tcW w:w="6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(1,343)</w:t>
            </w: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investments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(451,576)</w:t>
            </w:r>
          </w:p>
        </w:tc>
        <w:tc>
          <w:tcPr>
            <w:tcW w:w="6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(509,465)</w:t>
            </w: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investments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431,634</w:t>
            </w:r>
          </w:p>
        </w:tc>
        <w:tc>
          <w:tcPr>
            <w:tcW w:w="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384,145</w:t>
            </w:r>
          </w:p>
        </w:tc>
        <w:tc>
          <w:tcPr>
            <w:tcW w:w="100" w:type="dxa"/>
            <w:vAlign w:val="bottom"/>
          </w:tcPr>
          <w:p>
            <w:pPr>
              <w:spacing w:after="0"/>
              <w:rPr>
                <w:sz w:val="17"/>
                <w:szCs w:val="17"/>
                <w:color w:val="auto"/>
              </w:rPr>
            </w:pP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(21,164)</w:t>
            </w:r>
          </w:p>
        </w:tc>
        <w:tc>
          <w:tcPr>
            <w:tcW w:w="6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(126,663)</w:t>
            </w:r>
          </w:p>
        </w:tc>
      </w:tr>
      <w:tr>
        <w:trPr>
          <w:trHeight w:val="196"/>
        </w:trPr>
        <w:tc>
          <w:tcPr>
            <w:tcW w:w="7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189"/>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and accompanying pre-funded warrants from June 2025 public offering, net of issuance</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of $15.7 million</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272,671</w:t>
            </w:r>
          </w:p>
        </w:tc>
        <w:tc>
          <w:tcPr>
            <w:tcW w:w="100" w:type="dxa"/>
            <w:vAlign w:val="bottom"/>
            <w:shd w:val="clear" w:color="auto" w:fill="CFF0FC"/>
          </w:tcPr>
          <w:p>
            <w:pPr>
              <w:spacing w:after="0"/>
              <w:rPr>
                <w:sz w:val="18"/>
                <w:szCs w:val="18"/>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through at-the-market sales agreement, net of issuance costs of $4.5 million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215,392</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43,195</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12,789</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(1,305)</w:t>
            </w:r>
          </w:p>
        </w:tc>
        <w:tc>
          <w:tcPr>
            <w:tcW w:w="6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(1,078)</w:t>
            </w:r>
          </w:p>
        </w:tc>
      </w:tr>
      <w:tr>
        <w:trPr>
          <w:trHeight w:val="196"/>
        </w:trPr>
        <w:tc>
          <w:tcPr>
            <w:tcW w:w="7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258,754</w:t>
            </w:r>
          </w:p>
        </w:tc>
        <w:tc>
          <w:tcPr>
            <w:tcW w:w="280" w:type="dxa"/>
            <w:vAlign w:val="bottom"/>
            <w:tcBorders>
              <w:top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285,494</w:t>
            </w:r>
          </w:p>
        </w:tc>
        <w:tc>
          <w:tcPr>
            <w:tcW w:w="100" w:type="dxa"/>
            <w:vAlign w:val="bottom"/>
            <w:tcBorders>
              <w:top w:val="single" w:sz="8" w:color="CFF0FC"/>
            </w:tcBorders>
          </w:tcPr>
          <w:p>
            <w:pPr>
              <w:spacing w:after="0"/>
              <w:rPr>
                <w:sz w:val="17"/>
                <w:szCs w:val="17"/>
                <w:color w:val="auto"/>
              </w:rPr>
            </w:pP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(7,313)</w:t>
            </w:r>
          </w:p>
        </w:tc>
      </w:tr>
      <w:tr>
        <w:trPr>
          <w:trHeight w:val="202"/>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362,811</w:t>
            </w:r>
          </w:p>
        </w:tc>
        <w:tc>
          <w:tcPr>
            <w:tcW w:w="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126,050</w:t>
            </w:r>
          </w:p>
        </w:tc>
        <w:tc>
          <w:tcPr>
            <w:tcW w:w="100" w:type="dxa"/>
            <w:vAlign w:val="bottom"/>
          </w:tcPr>
          <w:p>
            <w:pPr>
              <w:spacing w:after="0"/>
              <w:rPr>
                <w:sz w:val="17"/>
                <w:szCs w:val="17"/>
                <w:color w:val="auto"/>
              </w:rPr>
            </w:pPr>
          </w:p>
        </w:tc>
      </w:tr>
      <w:tr>
        <w:trPr>
          <w:trHeight w:val="196"/>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379,583</w:t>
            </w:r>
          </w:p>
        </w:tc>
        <w:tc>
          <w:tcPr>
            <w:tcW w:w="2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activities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 accrued expenses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shd w:val="clear" w:color="auto" w:fill="CFF0FC"/>
          </w:tcPr>
          <w:p>
            <w:pPr>
              <w:spacing w:after="0"/>
              <w:rPr>
                <w:sz w:val="17"/>
                <w:szCs w:val="17"/>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 through finance lease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-2901950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-2104390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-2104390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-1195705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-1195705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-655955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-655955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6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300" w:type="dxa"/>
            <w:vAlign w:val="bottom"/>
            <w:gridSpan w:val="2"/>
            <w:shd w:val="clear" w:color="auto" w:fill="CFF0FC"/>
          </w:tcPr>
          <w:p>
            <w:pPr>
              <w:jc w:val="right"/>
              <w:ind w:right="8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373,374</w:t>
            </w: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112,949</w:t>
            </w: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3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5,788</w:t>
            </w:r>
          </w:p>
        </w:tc>
        <w:tc>
          <w:tcPr>
            <w:tcW w:w="100" w:type="dxa"/>
            <w:vAlign w:val="bottom"/>
          </w:tcPr>
          <w:p>
            <w:pPr>
              <w:spacing w:after="0"/>
              <w:rPr>
                <w:sz w:val="17"/>
                <w:szCs w:val="17"/>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2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379,583</w:t>
            </w:r>
          </w:p>
        </w:tc>
        <w:tc>
          <w:tcPr>
            <w:tcW w:w="1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118,737</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historical net losses and anticipates that it will continue to incur losses for the foreseeable future and had an accumulated deficit of $1,328 million as of September 30, 2026. The Company has funded these losses principally through the issuance and sale of its convertible preferred stock to outside investors and collaborators in private equity financings, its initial public offering, or IPO, follow-on offerings, Private Investment in Public Equity, or PIPE offering, and at-the-market sales programs as well as from cash proceeds received in connection with the Company’s corporate collaboration agreements (see Note 5). The Company expects to continue to incur operating losses and negative operating cash flows until such time as it generates a level of revenue that is sufficient to support its cost structure.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cash, cash equivalents and marketable securities of $1,646 million. The Company believes these cash, cash equivalents and marketable securities will be sufficient to fund its operations and capital expenditure requirements through at least twelve months from the issuance of these condensed consolidated financial statements.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Cowen Sales Agreement</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February 26, 2026, the Company entered into a sales agreement, or Cowen Sales Agreement, with TD Securities (USA) LLC (“Cowen”), pursuant to which the Company may offer and sell shares of common stock having aggregate gross proceeds of up to $500.0 million from time to time in “at-the-market” offerings through Cowen, as our sales agent. The Company agreed to pay Cowen a commission of up to 3.0% of the gross proceeds of any shares sold by Cowen under the Cowen Sales Agreement. As of September 30, 2026 the Company has sold 2,032,140 shares of common stock under the Cowen Sales Agreement resulting in gross proceeds of approximately $219.9 million.</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2025 Follow-on Public Offerings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30, 2025, the Company issued and sold 5,044,500 shares of common stock at a public offering price of $44.00 per share. Additionally, in lieu of common stock to a certain investor, the Company issued and sold pre-funded warrants to purchase 655,500 shares of common stock at a public offering price of $43.9999 per pre-funded warrant, which represents the public offering price per share of common stock less the $0.0001 per share exercise price of each pre-funded warrant. The aggregate gross proceeds from this initial closing, before deducting underwriting discounts and commissions and other estimated offering expenses payable by the Company, were approximately $250.8 million. In July 2025, the Company completed the follow-on offering through the closing of the underwriters’ full exercise of their option to purchase an additional 855,000 shares of common stock. As a result, the total aggregate gross proceeds from this follow-on offering were approximately $288.4 million, before deducting underwriting discounts and commissions and other estimated offering expenses payable by the Company.</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10, 2025, the Company completed a follow-on offering of its common stock. The Company issued and sold 8,050,000 shares of common stock, including full exercise of the underwriters’ option to purchase an additional 1,050,000 shares, at a public offering price of $86.00 per share. The aggregate gross proceeds before deducting underwriting discounts and commissions, and other estimated offering expenses payable by the Company were approximately $692.3 million.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certain offerings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(or, at the election of the holder, 9.99%)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no pre-funded warrants were exercised. As of September 30, 2026, there were 15,815,253 pre-funded warrants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application of certain significant accounting policies as described in this note, and elsewhere in the accompanying condensed consolidated financial statements and notes.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subsidiary Kymera Securities Corporation. All intercompany transactions and balances have been eliminated in consolidation.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condensed consolidated financial statements should be read in conjunction with the Company’s audited consolidated financial statements and the notes thereto for the year ended December 31, 2025 included in the Company’s Annual Report on Form 10-K, filed with the SEC on February 26, 2026.</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as of and for the year ended December 31, 2025, and, in the opinion of management, reflect all adjustments necessary, all of which were normal and recurring, for the fair statement of the Company’s financial position as of September 30, 2026, the results of operations and equity for the three and nine months ended September 30, 2026 and 2025, and cash flows for the nine months ended September 30, 2026 and 2025. The results for the three and nine months ended September 30, 2026 are not necessarily indicative of the results for the year ended December 31, 2026 or for any future period.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and nine months ended September 30, 2026 are consistent with those discussed in Note 2 to the consolidated financial statements in the 2025 Annual Report on Form 10-K except as discussed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all stock-based awards granted to employees, directors, and nonemployees based on their fair value on the date of the grant and recognizes compensation expense for those awards over the requisite service period, which is generally the vesting period of the respective award. Stock-based payments include grants of stock options and restricted stock units. The measurement date for stock awards is the date of grant, and stock-based compensation costs are recognized as expense over the requisite service period, which is the vesting period, on a straight-line basis. The Company has issued stock options and restricted stock units with performance-based vesting conditions and records the expense for these awards if the Company concludes that it is probable that the performance condition will be achieved. Stock-based compensation is classified in the accompanying consolidated statements of operations and comprehensive loss based on the function to which the related services are provided. The Company recognizes stock-based compensation expense for the portion of awards that have vested. Forfeitures are accounted for as they occur.</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options-pricing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The fair value of the underlying common shares equals the closing price of the Company’s stock on the date of grant. As the Company’s IPO was in 2020, the Company lacks a sufficient period of company-specific historical and implied volatility information. Therefore, it estimates its expected stock volatility based on the historical volatility of a publicly traded set of guideline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fair value of each restricted stock unit award is estimated on the date of grant based on the fair value of the Company’s common stock on that same date.</w:t>
      </w:r>
    </w:p>
    <w:p>
      <w:pPr>
        <w:spacing w:after="0" w:line="19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Compensation expense for discounted purchases under the employee stock purchase plan is measured using the Black-Scholes model to compute the fair value of the lookback provision plus the purchase discount and is recognized as compensation expense over the offering period.</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performance conditions included in certain of the Company's restricted stock units awards and stock options that are based upon the achievement of pre-specified clinical development milestones. As the outcome of each event has inherent risk and uncertainties, and a positive outcome may not be known until the event is achieved, the Company begins to recognize the grant-date fair value of the performance-based restricted stock awards when it determines the achievement of each performance condition is deemed probable, a determination which requires significant judgment by management. On the date the performance condition is deemed probable, the Company records a cumulative expense catch-up, with remaining expense amortized over the remaining service period. The Company reassess the probability of achievement at each reporting period and adjusts cumulative expense as necessary.</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Beginning in 2026, the structure of the performance award design was revised to include a relative total shareholder return (rTSR) approach such that certain awards are earned for the Company's rTSR performance over a three-year measurement period relative to a peer group of companies. The actual number of performance awards that will vest at the end of the performance period may be anywhere from zero to 200 percent of the target number of shares granted. The fair value of these awards is estimated using a Monte Carlo model. Expense related to these awards is recognized ratably over the measurement period.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is intended to improve disclosures by requiring additional information about specific expense categories in the notes to the financial statements on an annual and interim basis. The standard will be effective for annual reporting periods beginning after December 15, 2026, and interim reporting periods beginning after December 15, 2027, with early adoption permitted. The standard updates may be applied on either a prospective or retrospective basis. We are currently evaluating the disclosure requirements related to this new standard.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indicates the level of the fair value hierarchy utilized to determine such fair values as of September 30, 2026 and December 31, 2025 (in thousands):</w:t>
      </w:r>
    </w:p>
    <w:p>
      <w:pPr>
        <w:spacing w:after="0" w:line="17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4"/>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343,637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343,637</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115,548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115,548</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149,372</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323,494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323,494</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148,054</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185,883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185,883</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340,731</w:t>
            </w:r>
          </w:p>
        </w:tc>
        <w:tc>
          <w:tcPr>
            <w:tcW w:w="1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634,604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1,013,105</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1,647,709</w:t>
            </w: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4"/>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4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299,067</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299,067</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157,069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157,069</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126,290</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200,750</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160,500</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164,618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164,618</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446,041</w:t>
            </w:r>
          </w:p>
        </w:tc>
        <w:tc>
          <w:tcPr>
            <w:tcW w:w="1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622,436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975,825</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1,598,261</w:t>
            </w: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-2853690</wp:posOffset>
            </wp:positionV>
            <wp:extent cx="59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-2853690</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-2853690</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-2853690</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-170815</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-170815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nine months ended September 30, 2026 and the year ended December 31, 2025, there were no transfers in or out of Level 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available-for-sale debt securities held at September 30, 2026 and December 31, 2025 (in thousands):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266,760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263,603</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339,271</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(4,016)</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335,255</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securities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671,756</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(7,536)</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664,225</w:t>
            </w:r>
          </w:p>
        </w:tc>
        <w:tc>
          <w:tcPr>
            <w:tcW w:w="100" w:type="dxa"/>
            <w:vAlign w:val="bottom"/>
            <w:shd w:val="clear" w:color="auto" w:fill="CFF0FC"/>
          </w:tcPr>
          <w:p>
            <w:pPr>
              <w:spacing w:after="0"/>
              <w:rPr>
                <w:sz w:val="18"/>
                <w:szCs w:val="18"/>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6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1,287,219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(14,716)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1,272,509</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3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316,979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317,568</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290,714</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290,909</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securities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645,772</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646,791</w:t>
            </w:r>
          </w:p>
        </w:tc>
        <w:tc>
          <w:tcPr>
            <w:tcW w:w="100" w:type="dxa"/>
            <w:vAlign w:val="bottom"/>
            <w:shd w:val="clear" w:color="auto" w:fill="CFF0FC"/>
          </w:tcPr>
          <w:p>
            <w:pPr>
              <w:spacing w:after="0"/>
              <w:rPr>
                <w:sz w:val="18"/>
                <w:szCs w:val="18"/>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6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1,260,621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1,262,423</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-1379220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-1379220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-1379220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-1379220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held 370 securities that had been in an unrealized loss position for less than 12 months with an aggregate fair value of $1.2 billion. As of December 31, 2025, the Company held 120 securities that had been in an unrealized loss position for less than 12 months with an aggregate fair value of $389.1 million. As of September 30, 2026, the Company held 7 securities that had been in an unrealized loss position for greater than 12 months with an aggregate value of $17.0 million. As of December 31, 2025, the Company held 7 securities that had been in an unrealized loss position for greater than 12 months with an aggregate fair value of $16.3 million.</w:t>
      </w:r>
    </w:p>
    <w:p>
      <w:pPr>
        <w:spacing w:after="0" w:line="2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had 187 securities with a fair value of $597.8 million with a contractual maturity of less than 12 months and 196 securities with a fair value of $674.7 million with a contractual maturity of greater than 12 months. As of December 31, 2025, the Company had 141 securities with a fair value of $491.3 million with a contractual maturity of less than 12 months and 232 securities with a fair value of $771.2 million with a contractual maturity of greater than 12 months.</w:t>
      </w:r>
    </w:p>
    <w:p>
      <w:pPr>
        <w:spacing w:after="0" w:line="24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Unrealized losses on available-for-sale securities presented in the previous table have not been recognized in the condensed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September 30, 2026 and December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5.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June 25, 2025, the Company entered into an exclusive option and license agreement (the “Gilead Agreement”) with Gilead Sciences, Inc. (“Gilead”), to collaborate on developing novel molecular glue degraders directed against cyclin-dependent kinase 2 (“CDK2”). Under the Gilead Agreement, the Company granted to Gilead an exclusive option, exercisable during a defined option period, to exercise an exclusive, worldwide license to develop, manufacture, and commercialize certain CDK2 degraders generated under the collaboration.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Gilead Agreement, the Company was responsible for all discovery and preclinical research activities through the delivery of a complete data package as defined in the agreement. After receiving the complete data package, Gilead exercised its option to license the program and now has global rights to develop, manufacture and commercialize all products resulting from the collaboration.</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Following option exercise, the Gilead Agreement will expire on a product-by-product and country-by-country basis upon the expiration of all royalty obligations under the agreement. Gilead may terminate the agreement for convenience upon advance written notice. Each party may also terminate the agreement for material breach, insolvency, and the agreement may be terminated for certain other customary reasons, including Gilead’s right to terminate certain provisions of the agreement following a change of control of the Company.</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exclusive option and rights granted under the Gilead Agreement, the Company received a non-refundable upfront payment of $40.0 million. In addition, upon Gilead's exercise of the option in April 2026, the Company received an option exercise payment of $45.0 million and will be eligible to receive up to $665.0 million upon the achievement of certain development, regulatory and commercial milestones. The Company is also eligible to receive tiered royalties on net sales by Gilead ranging from high single-digit to mid-teen percentages, subject to customary reductions in certain circumstances.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the Gilead Agreement under ASC 606, Revenue from Contracts with Customers, and determined that the arrangement represents a contract with a customer. The Company identified the following material promises under the Gilead Agreement: (1) the discovery and preclinical research activities and (2) an option granting Gilead the right to acquire an exclusive license to the program.</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option to acquire an exclusive license to the program was evaluated as a material right. The Company determined that the option to acquire an exclusive license in the future was not priced at a discount, and that the option exercise fee is at or above the standalone selling price for research at this stage of development; as such, the options and the underlying licenses are excluded from the performance obligation and the option exercise fees were excluded from the initial transaction price until the underlying option was exercised. That is, one performance obligation was identified, the discovery and preclinical research activities. The Company recognized revenue associated with the performance obligation as the discovery and preclinical research activities were provided using an input method, according to costs incurred and the costs expected to be incurred in the future to satisfy that individual performance obligation. The transfer of control occurred over this time period and, in management’s judgment, was the best measure of progress towards satisfying each performance obligation.</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the total transaction price to be $40.0 million, which represents the upfront payment. The option exercise payment and all future milestone and royalty payments were excluded from the initial transaction price as they were contingent on future events and were deemed constrained due to the uncertainty of achievement and the Company’s limited control over their occurrence.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With Gilead's exercise of its exclusive license under the agreement, the performance obligation associated with the agreement has been fully satisfied. Accordingly, all future milestone payments will be recognized as revenue in full when deemed probable and unconstrained.</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the Company recognized no revenue under the Gilead Agreement. For the three months ended September 30, 2025, the Company recognized $2.8 million in revenue under the Gilead Agreement. For the nine months ended September 30, 2026, the Company recognized $79.4 million in revenue under the Gilead Agreement, $34.4 million of which was recorded in deferred revenue as of December 31, 2025. For the nine months ended September 30, 2025, the Company recognized $2.8 million in revenue under the Gilead Agreement. The aggregate amount of the transaction price allocated to the Company’s unsatisfied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performance obligations and recorded in deferred revenue as of September 30, 2026 and December 31, 2025 was $0 and $34.4 million, respectively. This decrease was the result of revenue recognized in the current fiscal year.</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2026, all remaining development and regulatory milestone payments were constrained, as the achievement of such milestones is contingent upon the success of activities and decisions that are generally outside the control of the Company. Because the performance obligation under the Gilead Agreement has been fully satisfied, these milestone payments will be recognized as revenue in full when deemed probable and unconstrained. Sales-based royalties and commercial milestone payments, if any, will be recognized when the related sales occur, as the performance obligation to which they relate has been satisfied.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the Company an exclusive option, or Opt-In Right, exercisable on a collaboration target-by-collaboration target basis that will include the right to (i)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We will further be eligible to receive tiered royalties on net sales ranging from the high single digits to high teens, subject to low-single digits upward adjustments in certain circumstances.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In the fourth quarter of 2023, the Company achieved two milestones of $40.0 million and $15.0 million relating to the dosing of the first patient in the Phase 2 clinical trial for the first and second indications, respectively. Further, in July 2024, the Company announced that Sanofi intends to expand the ongoing Phase 2 trials to more rapidly progress towards pivotal studies with the intention of accelerating overall timelines. In the first quarter of 2025, the Company achieved a development milestone related to certain preclinical activities associated with the IRAK4 program. In connection with this milestone the Company unconstrained $20.0 million of consideration in the first quarter of 2025.</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2025, Sanofi communicated its decision to exercise its full participation election under the terms of the companies’ collaboration agreement, and to advance KT-485/SAR447971, into clinical testing. As a result, Sanofi stopped development of KT-474. In June 2026, Sanofi informed the Company that the first participant was dosed in the first-in-human Phase 1 clinical trial evaluating KT-485/SAR447971, resulting in the achievement of a $20 million milestone.</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IRAK4 program, the Company remains eligible to receive up to an additional $955 million in development and commercial milestones upon the achievement of certain developmental or regulatory events and upon the achievement of certain net sales thresholds.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discovery and preclinical research activities as well as the exclusive license grants under the Sanofi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the total transaction price to be $150.0 million, which consists solely of the upfront payment. All milestone payments and option payments were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allocated the upfront payment to each performance obligation based on the relative standalone selling price, as follows:</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1: $120.0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2: $30.0 million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Prior to the full satisfaction of the Company's performance obligations, milestone and reimbursement consideration added to the transaction price were recognized as revenue with a cumulative catch-up upon becoming unconstrained. Subsequent to the satisfaction of the Company's performance obligations, milestone and reimbursement consideration will be recognized as revenue in full when deemed probable and unconstrained.</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With Sanofi's exercise of its full participation election under the agreement for Collaboration Target 1 in June of 2025, the performance obligations associated with Collaboration Target 1 &amp; Collaboration Target 2 have been fully satisfied.</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did not recognize any revenue under the Sanofi Agreement. During the nine months ended September 30, 2026, the Company recognized $20.0 million of revenue under the Sanofi Agreement. All of this amount relates to a milestone achieved in the second quarter of 2026, triggered by the first participant dosed in the first-in-human Phase 1 clinical trial evaluating KT-485/SAR447971. In the three months ended September 30, 2025 the Company did not recognize any revenue under the Sanofi Agreement. During the nine months ended September 30, 2025, the Company recognized $33.6 million in revenue under the Sanofi Agreement, all of which was associated with Collaboration Target 1. The aggregate amount of the transaction price allocated to the Company’s unsatisfied performance obligations and recorded in deferred revenue was $0 at both September 30, 2026 and December 31, 2025.</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fourth quarter of 2023, the Company achieved two development milestones relating to the dosing of the first patient in the KT-474 Phase 2 clinical trials for the first and second indications, respectively. In connection with these milestones the Company unconstrained $55.0 million of consideration in the fourth quarter of 2023. In the first quarter of 2025, the Company achieved a development milestone related to certain preclinical activities associated with the IRAK4 program. During the three and nine month periods ended September 30, 2025, the Company recognized $0 million and $23.6 million of revenue from the unconstrained milestones, respectively. All of the $75.0 million of consideration has been recorded as revenue.</w:t>
      </w:r>
    </w:p>
    <w:p>
      <w:pPr>
        <w:spacing w:after="0" w:line="22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accounts receivable, contract assets and contract liabilities for the nine months ended September 30, 2026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tcPr>
          <w:p>
            <w:pPr>
              <w:spacing w:after="0"/>
              <w:rPr>
                <w:sz w:val="13"/>
                <w:szCs w:val="13"/>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and contract assets:</w:t>
            </w:r>
          </w:p>
        </w:tc>
        <w:tc>
          <w:tcPr>
            <w:tcW w:w="5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Billed receivables – Sanofi</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Billed receivables – Gilead</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and contract assets</w:t>
            </w: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40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Contract liabilities:</w:t>
            </w: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Gilead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1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(34,365)</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71"/>
        </w:trPr>
        <w:tc>
          <w:tcPr>
            <w:tcW w:w="380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-1679575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-1679575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-1679575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-1087755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-1071245</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-1087755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-1071245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-1087755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-1071245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September 30, 2026 and December 31, 2025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and office equipment under finance right-of-use asset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43,258</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42,991</w:t>
            </w:r>
          </w:p>
        </w:tc>
        <w:tc>
          <w:tcPr>
            <w:tcW w:w="80" w:type="dxa"/>
            <w:vAlign w:val="bottom"/>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(28,109)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(22,127)</w:t>
            </w:r>
          </w:p>
        </w:tc>
      </w:tr>
      <w:tr>
        <w:trPr>
          <w:trHeight w:val="209"/>
        </w:trPr>
        <w:tc>
          <w:tcPr>
            <w:tcW w:w="20" w:type="dxa"/>
            <w:vAlign w:val="bottom"/>
          </w:tcPr>
          <w:p>
            <w:pPr>
              <w:spacing w:after="0"/>
              <w:rPr>
                <w:sz w:val="18"/>
                <w:szCs w:val="18"/>
                <w:color w:val="auto"/>
              </w:rPr>
            </w:pPr>
          </w:p>
        </w:tc>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38,242</w:t>
            </w:r>
          </w:p>
        </w:tc>
        <w:tc>
          <w:tcPr>
            <w:tcW w:w="1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43,175</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2026 and 2025 was $1.6 million and $1.7 million, respectively. Depreciation expense for the nine months ended September 30, 2026 and 2025 was $4.8 million and $5.1 million,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Included in property and equipment is lab and office equipment right-of-use assets under finance leases with a cost basis of $6.5 million and $6.5 million and accumulated amortization expense of $4.7 million and $3.5 million as of September 30, 2026 and December 31, 2025, respectively.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related to right-of-use assets during the three months ended September 30, 2026 and 2025 was $0.4 million and $0.4 million, respectively. Amortization expense related to right-of-use assets during the nine months ended September 30, 2026 and 2025 was $1.3 million and $1.2 million, respectively.</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2019, the Company entered into a noncancelable facility lease agreement (the “2019 Lease”) for 34,522 square feet of research and development and office space in Watertown, Massachusetts. The term of the 2019 Lease is 120 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In accordance with the lease agreement, the Company is required to maintain a security deposit and provided a letter of credit to the landlord, which is recorded in restricted cash as of September 30, 2026 and December 31, 2025. The letter of credit totaled $1.3 million and $1.3 million as of September 30, 2026 and December 31, 2025, respectively.</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2021, the Company entered into a noncancelable lease (the “2021 Lease”) for 100,624 square feet of office and laboratory space in Watertown, Massachusetts, which the Company began occupying in February 2024. The 2021 Lease is subject to base rent of $0.8 million per month beginning two months after the commencement date, plus the Company’s ratable share of taxes, maintenance and other operating expenses. Base rent is subject to a 3% annual increase over the lease term of approximately 134 months following the commencement date. The Company also has two consecutive options to extend the term of the lease for five years each at then-market rates. The 2021 Lease also includes a tenant improvement allowance of approximately $20.1 million. In accordance with the lease agreement, the Company is required to maintain a security deposit and provided a letter of credit to the landlord, which is recorded in restricted cash as of September 30, 2026 and December 31, 2025. The letter of credit totaled $4.9 million and $4.5 million as of September 30, 2026 and December 31, 2025, respectively.</w:t>
      </w:r>
    </w:p>
    <w:p>
      <w:pPr>
        <w:spacing w:after="0" w:line="200" w:lineRule="exact"/>
        <w:rPr>
          <w:sz w:val="20"/>
          <w:szCs w:val="20"/>
          <w:color w:val="auto"/>
        </w:rPr>
      </w:pPr>
    </w:p>
    <w:p>
      <w:pPr>
        <w:spacing w:after="0" w:line="20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 million, measured as the present value of the remaining lease payments discounted using the incremental borrowing rate as of the accounting commencement date. The Company recorded an operating lease right-of-use asset of $48.9 million, measured as the present value of the remaining lease payments, net of the tenant incentives.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the improvements paid for by the landlord in connection with the tenant improvement allowance represent lessee assets and therefore recorded $20.1 million of leasehold improvements in property and equipment. The Company recorded an additional $17.9 million of leasehold improvements in excess of the tenant improvement allowance, all of which were placed in service in 2024.</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Upon occupancy of the 2021 Lease facility in February of 2024, the Company exited the 2019 Lease facility and began looking to sublease the entire facility for the remaining noncancellable lease term through March 31, 2030. These actions resulted in impairment charges to date of $8.8 million.</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impairment charge reduces the carrying value of the associated ROU asset, leasehold improvements and certain furniture and fixture assets that remained in the facility to their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July 2026, the Company entered into a sublease for its 2019 Lease. The sublease commences on January 1, 2027 with rent commencement September 1, 2027, and terminates on March 31, 2030, which is concurrent with the termination of the Company's 2019 Lease. The Company was not relieved of its primary obligation under the 2019 Lease as a result of the sublease, and there was no incremental impairment recognized as a result of the sublease. The Company expects to begin recognizing sublease income on a straight-line basis over the term of the sublease agreement upon commencement of the lease.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finance lease obligations consist of certain property and equipment financed through finance leases.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lease costs for the three and nine months ended September 30, 2026 and 2025, were as follows (in thousands):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28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80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2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right-of-use assets, finance leases</w:t>
            </w: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 for finance lease liabilities</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r>
      <w:tr>
        <w:trPr>
          <w:trHeight w:val="216"/>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8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800" w:type="dxa"/>
            <w:vAlign w:val="bottom"/>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2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10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-170815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-170815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relating to the Company’s leases for the nine months ended September 30, 2026 and 2025, were as follows (in thousands):</w:t>
      </w:r>
    </w:p>
    <w:p>
      <w:pPr>
        <w:spacing w:after="0" w:line="182"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91"/>
        </w:trPr>
        <w:tc>
          <w:tcPr>
            <w:tcW w:w="1700" w:type="dxa"/>
            <w:vAlign w:val="bottom"/>
          </w:tcPr>
          <w:p>
            <w:pPr>
              <w:spacing w:after="0"/>
              <w:rPr>
                <w:sz w:val="16"/>
                <w:szCs w:val="16"/>
                <w:color w:val="auto"/>
              </w:rPr>
            </w:pPr>
          </w:p>
        </w:tc>
        <w:tc>
          <w:tcPr>
            <w:tcW w:w="37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10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700" w:type="dxa"/>
            <w:vAlign w:val="bottom"/>
          </w:tcPr>
          <w:p>
            <w:pPr>
              <w:spacing w:after="0"/>
              <w:rPr>
                <w:sz w:val="20"/>
                <w:szCs w:val="20"/>
                <w:color w:val="auto"/>
              </w:rPr>
            </w:pPr>
          </w:p>
        </w:tc>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10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751"/>
        </w:trPr>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as of September 30, 2026 and 2025 were as follows:</w:t>
      </w:r>
    </w:p>
    <w:p>
      <w:pPr>
        <w:spacing w:after="0" w:line="21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44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700" w:type="dxa"/>
        <w:tblCellMar>
          <w:top w:w="0" w:type="dxa"/>
          <w:left w:w="0" w:type="dxa"/>
          <w:bottom w:w="0" w:type="dxa"/>
          <w:right w:w="0" w:type="dxa"/>
        </w:tblCellMar>
      </w:tblPr>
      <w:tr>
        <w:trPr>
          <w:trHeight w:val="142"/>
        </w:trPr>
        <w:tc>
          <w:tcPr>
            <w:tcW w:w="466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lease term:</w:t>
            </w: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7.91 years</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8.84 years</w:t>
            </w:r>
          </w:p>
        </w:tc>
      </w:tr>
      <w:tr>
        <w:trPr>
          <w:trHeight w:val="216"/>
        </w:trPr>
        <w:tc>
          <w:tcPr>
            <w:tcW w:w="4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Finance lease</w:t>
            </w: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1.64 years</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2.35 years</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8.67%</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8.70%</w:t>
            </w:r>
          </w:p>
        </w:tc>
      </w:tr>
      <w:tr>
        <w:trPr>
          <w:trHeight w:val="234"/>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lease</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8.90%</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8.78%</w:t>
            </w: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undiscounted future lease payments for operating and finance leases as of September 30, 2026, were as follows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3"/>
                <w:szCs w:val="13"/>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tcPr>
          <w:p>
            <w:pPr>
              <w:spacing w:after="0"/>
              <w:rPr>
                <w:sz w:val="15"/>
                <w:szCs w:val="15"/>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(fourth quarter)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103,560</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representing interest or imputed interest</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(28,934)</w:t>
            </w: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74,626</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as of September 30, 2026 and December 31, 2025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80" w:type="dxa"/>
            <w:vAlign w:val="bottom"/>
            <w:shd w:val="clear" w:color="auto" w:fill="CFF0F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80" w:type="dxa"/>
            <w:vAlign w:val="bottom"/>
          </w:tcPr>
          <w:p>
            <w:pPr>
              <w:spacing w:after="0"/>
              <w:rPr>
                <w:sz w:val="18"/>
                <w:szCs w:val="18"/>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80" w:type="dxa"/>
            <w:vAlign w:val="bottom"/>
            <w:shd w:val="clear" w:color="auto" w:fill="CFF0F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8"/>
                <w:szCs w:val="18"/>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63,315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42,274</w:t>
            </w:r>
          </w:p>
        </w:tc>
        <w:tc>
          <w:tcPr>
            <w:tcW w:w="80" w:type="dxa"/>
            <w:vAlign w:val="bottom"/>
            <w:shd w:val="clear" w:color="auto" w:fill="CFF0FC"/>
          </w:tcPr>
          <w:p>
            <w:pPr>
              <w:spacing w:after="0"/>
              <w:rPr>
                <w:sz w:val="18"/>
                <w:szCs w:val="18"/>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-7620</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20" w:right="8000" w:hanging="512"/>
        <w:spacing w:after="0" w:line="378" w:lineRule="auto"/>
        <w:tabs>
          <w:tab w:leader="none" w:pos="19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Commitments and Contingencies </w:t>
      </w:r>
      <w:r>
        <w:rPr>
          <w:rFonts w:ascii="Times New Roman" w:cs="Times New Roman" w:eastAsia="Times New Roman" w:hAnsi="Times New Roman"/>
          <w:sz w:val="18"/>
          <w:szCs w:val="18"/>
          <w:b w:val="1"/>
          <w:bCs w:val="1"/>
          <w:i w:val="1"/>
          <w:iCs w:val="1"/>
          <w:color w:val="auto"/>
        </w:rPr>
        <w:t>Legal Proceedings</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Arrangements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indemnification agreements is unlimited. The Company is not aware of any claims under indemnification arrangements, and it has not accrued any liabilities related to such obligations as of September 30, 2026 or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Grant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2020 Stock Option and Incentive Plan.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Stock Option and Incentive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initially reserved 4,457,370 shares of its common stock for the issuance of awards under the 2020 Plan, which includes the shares of common stock remaining available for issuance under its 2018 Plan as of the business day immediately prior to the effective date of the registration statement. The 2020 Plan provides that the number of shares reserved and available for issuance will automatically increase on January 1, 2021 and each January 1 thereafter, by 4% of the Company’s outstanding number of shares of common stock on the immediately preceding December 31, or such lesser number of shares as determined by the Company’s compensation committee. These limits are subject to adjustment in the event of a stock split, stock dividend or other change in the Company’s capitalization. In June 2024, in connection with the Company's 2024 annual shareholder meeting, shareholders approved an amendment to the 2020 stock option plan that redefined the definition of common stock outstanding for the purposes of calculating the annual increase to the shares available for issuance. After the amendment, outstanding equity includes all outstanding common shares as well as outstanding pre-funded warrants. As of September 30, 2026, there were an aggregate of 6,342,748 shares remaining available for future grants.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Employee Stock Purchase Plan (the “2020 ESPP”), which became effective August 20, 2020. The 2020 ESPP initially reserved and authorized the issuance of up to a total of 445,653 shares of common stock to participating employees. The 2020 ESPP provides that the number of shares reserved and available for issuance will automatically increase on January 1, 2021 and each January 1 thereafter through January 1, 2030, by the lesser of (i) 438,898 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the Company’s capitalization. As of September 30, 2026, there were an aggregate 2,716,358 shares remaining available for future grants.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under the 2020 Plan for service and performance based vesting conditions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is as follows (in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3"/>
            <w:vMerge w:val="restart"/>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Strike</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0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3"/>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9,003,748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4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400,490</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1,560,854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(1,563,730)</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(371,520)</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80" w:type="dxa"/>
            <w:vAlign w:val="bottom"/>
            <w:tcBorders>
              <w:top w:val="single" w:sz="8" w:color="CFF0FC"/>
              <w:bottom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Outstanding at September 30, 2026</w:t>
            </w:r>
          </w:p>
        </w:tc>
        <w:tc>
          <w:tcPr>
            <w:tcW w:w="130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8,629,352</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44.30</w:t>
            </w:r>
          </w:p>
        </w:tc>
        <w:tc>
          <w:tcPr>
            <w:tcW w:w="1480" w:type="dxa"/>
            <w:vAlign w:val="bottom"/>
            <w:tcBorders>
              <w:top w:val="single" w:sz="8" w:color="CFF0FC"/>
              <w:bottom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6.96</w:t>
            </w:r>
          </w:p>
        </w:tc>
        <w:tc>
          <w:tcPr>
            <w:tcW w:w="420" w:type="dxa"/>
            <w:vAlign w:val="bottom"/>
            <w:tcBorders>
              <w:top w:val="single" w:sz="8" w:color="CFF0FC"/>
              <w:bottom w:val="single" w:sz="8" w:color="CFF0FC"/>
            </w:tcBorders>
            <w:gridSpan w:val="2"/>
            <w:shd w:val="clear" w:color="auto" w:fill="CFF0FC"/>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583,251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5,811,873</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-1628140</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-1628140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-1053465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-1212215</wp:posOffset>
            </wp:positionV>
            <wp:extent cx="85725"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intrinsic value of stock options exercised during the three months ended September 30, 2026 and 2025 was $33.1 million and $8.6 million, respectively. The intrinsic value of stock options exercised during the nine months ended September 30, 2026 and 2025 was $103.5 million and $16.0 million, respectively.</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fair value of options granted during the three months ended September 30, 2026 and 2025 was $78.35 and $33.67 respectively. The weighted-average fair value of options granted during the nine months ended September 30, 2026 and 2025 was $64.99 and $22.73 respectively.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 total unrecognized stock-based compensation expense for unvested stock options was $108.0 million, with a weighted average recognition period of 3.3 years.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2025 Performance Stock Options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During the first quarter of 2025, the Company began granting performance stock options, or PSOs, under the Company’s 2020 Stock Option and Incentive Plan to certain key employees of the Company, including the Company’s executive officers and management team. The total number of PSOs that may vest will range from 0 to a maximum of 100% of the target number of options granted. The PSOs will vest in three separate installments based upon the achievement of three clinical milestones. The achievement of one clinical milestone will result in the vesting of 40% of the target amount, the achievement of a second clinical milestone will result in the vesting of 40% of the Target Amount and the achievement of the third clinical milestones will result in the vesting of 20% of the target amount. None of the PSOs with respect to the clinical milestone objective may vest prior to the first anniversary of the grant date. During the three and nine months ended September 30, 2026, the Company did not grant any PSOs in relation to the 2025 PSO Grant. During the three and nine months ended September 30, 2025 the Company granted 0 and 88,000 PSOs in relation to the 2025 PSO Grant, respectively, with a weighted average strike price of $30.17. As of September 30, 2026 there are 88,000 PSOs outstanding with a weighted average strike price of $30.17. As of September 30, 2026 the Company has concluded that it is not deemed probable that the clinical milestone based performance conditions will be achieved, and as such, no equity-based compensation has been recorded for the 2025 PSOs.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2026 Performance Stock Options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granted 0 and 95,000 PSOs in relation to the 2026 PSO Grant, respectively. During the three and nine months ended September 30, 2025 the Company granted 0 PSOs in relation to the 2026 PSO Grant. The total number of PSOs that may vest will range from 0 to a maximum of 100% of the target number of options granted. The PSOs will vest in three separate installments subject to the achievement of two clinical milestones, and a third condition around relative Total Shareholder Return (“TSR”) of the Company’s Common Stock. Specifically, the achievement of the first clinical milestone will result in the vesting of 60% of the target amount, and the achievement of the second clinical milestone will result in the vesting of 15% of the target amount. None of the PSOs with respect to the clinical milestone objective may vest prior to the first anniversary of the grant date. As of September 30, 2026, the Company has concluded that it is not deemed probable that the clinical milestone based performance conditions for the 2026 PSOs will be achieved, and as such, no equity-based compensation has been recorded for clinical milestone portion of the 2026 PSOs.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25% of target PSOs earned will be based on the relative TSR of the Company’s common stock as compared to the TSR of the members of the S&amp;P Biotechnology Select Industry Index ("XBI") over a three-year performance period from January 1, 2026 to December 31, 2028. Depending on the results relative to the TSR market condition, the holders may earn from 0% to 200% of the target amount of shares which will vest at the end of the performance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PSOs will be forfeited if the performance conditions are not achieved at the end of the relative performance periods as described above. The vesting of the PSOs can also be triggered upon certain change in control events. The weighted-average grant date fair values of the PSOs relating to the TSR component were $97.53 per share. Stock-based compensation expense recognized for the PSOs relating to the TSR components were approximately $0.2 million and $0 for the three months ended September 30, 2026 and 2025, respectively. Stock-based compensation expense recognized for the PSOs relating to the TSR components were approximately $0.5 million and $0 for the nine months ended September 30, 2026 and 2025, respectively. The measurement period for the TSR portion of the 2026 PSOs have not been met, and as such no shares have become exercisable. The Company estimated the fair values of shares granted under the market-based TSR PSOs using a Monte Carlo simulation model with the following assumptions:</w:t>
      </w:r>
    </w:p>
    <w:p>
      <w:pPr>
        <w:spacing w:after="0" w:line="200" w:lineRule="exact"/>
        <w:rPr>
          <w:sz w:val="20"/>
          <w:szCs w:val="20"/>
          <w:color w:val="auto"/>
        </w:rPr>
      </w:pPr>
    </w:p>
    <w:p>
      <w:pPr>
        <w:spacing w:after="0" w:line="223" w:lineRule="exact"/>
        <w:rPr>
          <w:sz w:val="20"/>
          <w:szCs w:val="20"/>
          <w:color w:val="auto"/>
        </w:rPr>
      </w:pPr>
    </w:p>
    <w:tbl>
      <w:tblPr>
        <w:tblLayout w:type="fixed"/>
        <w:tblInd w:w="36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our equity-based compensation expense for stock options for the three and nine months ended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5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19,072</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19,780</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100" w:type="dxa"/>
            <w:vAlign w:val="bottom"/>
          </w:tcPr>
          <w:p>
            <w:pPr>
              <w:spacing w:after="0"/>
              <w:rPr>
                <w:sz w:val="18"/>
                <w:szCs w:val="18"/>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38,852</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36,506</w:t>
            </w:r>
          </w:p>
        </w:tc>
        <w:tc>
          <w:tcPr>
            <w:tcW w:w="100" w:type="dxa"/>
            <w:vAlign w:val="bottom"/>
            <w:shd w:val="clear" w:color="auto" w:fill="CFF0FC"/>
          </w:tcPr>
          <w:p>
            <w:pPr>
              <w:spacing w:after="0"/>
              <w:rPr>
                <w:sz w:val="18"/>
                <w:szCs w:val="18"/>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-7620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that the Company used in the Black-Scholes option pricing model to determine the grant date fair value of stock options granted to employees and non-employees for the three and nine months ended September 30, 2026 and 2025 were as follows:</w:t>
      </w:r>
    </w:p>
    <w:p>
      <w:pPr>
        <w:spacing w:after="0" w:line="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120" w:type="dxa"/>
            <w:vAlign w:val="bottom"/>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780" w:type="dxa"/>
            <w:vAlign w:val="bottom"/>
          </w:tcPr>
          <w:p>
            <w:pPr>
              <w:spacing w:after="0"/>
              <w:rPr>
                <w:sz w:val="15"/>
                <w:szCs w:val="15"/>
                <w:color w:val="auto"/>
              </w:rPr>
            </w:pPr>
          </w:p>
        </w:tc>
        <w:tc>
          <w:tcPr>
            <w:tcW w:w="212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780" w:type="dxa"/>
            <w:vAlign w:val="bottom"/>
          </w:tcPr>
          <w:p>
            <w:pPr>
              <w:spacing w:after="0"/>
              <w:rPr>
                <w:sz w:val="12"/>
                <w:szCs w:val="12"/>
                <w:color w:val="auto"/>
              </w:rPr>
            </w:pPr>
          </w:p>
        </w:tc>
        <w:tc>
          <w:tcPr>
            <w:tcW w:w="134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2"/>
                <w:szCs w:val="12"/>
                <w:color w:val="auto"/>
              </w:rPr>
            </w:pPr>
          </w:p>
        </w:tc>
        <w:tc>
          <w:tcPr>
            <w:tcW w:w="134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4.43%</w:t>
            </w:r>
          </w:p>
        </w:tc>
        <w:tc>
          <w:tcPr>
            <w:tcW w:w="5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3.88%</w:t>
            </w: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5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4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shares of restricted stock units with service-based and performance-based vesting conditions. A summary of restricted stock activity during the nine months ended September 30, 2026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272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48"/>
        </w:trPr>
        <w:tc>
          <w:tcPr>
            <w:tcW w:w="1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2720" w:type="dxa"/>
            <w:vAlign w:val="bottom"/>
            <w:gridSpan w:val="3"/>
          </w:tcPr>
          <w:p>
            <w:pPr>
              <w:jc w:val="center"/>
              <w:ind w:right="19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3"/>
        </w:trPr>
        <w:tc>
          <w:tcPr>
            <w:tcW w:w="17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60" w:type="dxa"/>
            <w:vAlign w:val="bottom"/>
            <w:gridSpan w:val="2"/>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2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1,345,155</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761,739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36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(380,149)</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22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(225,616)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2026</w:t>
            </w:r>
          </w:p>
        </w:tc>
        <w:tc>
          <w:tcPr>
            <w:tcW w:w="2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1,501,129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641"/>
        </w:trPr>
        <w:tc>
          <w:tcPr>
            <w:tcW w:w="1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8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-1482090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-1482090</wp:posOffset>
            </wp:positionV>
            <wp:extent cx="431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-916305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i w:val="1"/>
          <w:iCs w:val="1"/>
          <w:color w:val="auto"/>
        </w:rPr>
        <w:t>2025 Performance Stock Units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During the first quarter of 2025, the Company began granting restricted stocks units with performance-based vesting conditions, or performance stock units ("PSUs") under the Company’s 2020 Stock Option and Incentive Plan to certain key employees of the Company, including the Company’s named executive officers and management team. Specifically, in the three and nine months ended September 30, 2025, the Company granted 0 and 285,723 PSUs, respectively. The total number of PSUs that may vest will range from 0 to a maximum of 100% of the target number of units granted. The 2025 PSUs will vest in three separate installments based upon the achievement of three clinical milestones. The achievement of one clinical milestone will result in the vesting of 40% of the Target Amount, the achievement of a second clinical milestone will result in the vesting of 40% of the Target Amount and the achievement of third clinical milestones will result in the vesting of 20% of the Target Amount. None of the PSUs with respect to the clinical milestone objective may vest prior to the first anniversary of the grant date. As of September 30, 2026 the Company has concluded that it is not deemed probable that the clinical milestone based performance conditions for the 2025 PSUs will be achieved, and as such, no equity-based compensation has been recorded for the 2025 PSUs.</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2026 Performance Stock Units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first quarter of 2026, the Company granted PSUs to certain key employees. The total number of PSUs that may vest will range from 0 to a maximum of 100% of the target number of units granted. The PSUs will vest in three separate installments subject to the achievement of two clinical milestones, and a third condition around relative TSR of the Company’s Common Stock. Specifically, the achievement of the first clinical milestone will result in the vesting of 60% of the target amount, and the achievement of the second clinical milestone will result in the vesting of 15% of the target amount. None of the PSUs with respect to the clinical milestone objective may vest prior to the first anniversary of the grant date. Specifically, in the three and nine months ended September 30, 2026, the Company granted 0 and 73,672 PSUs, respectively. As of September 30, 2026, the Company has concluded that it is not deemed probable that the clinical milestone based performance conditions for the 2026 PSUs will be achieved, and as such, no equity-based compensation has been recorded for clinical milestone portion of the 2026 PSUs.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25% of target PSUs earned will be based on the relative TSR of the Company’s common stock as compared to the TSR of the members of the XBI over a three-year performance period from January 1, 2026 to December 31, 2028. Depending on the results relative to the TSR market condition, the holders may earn from 0% to 200% of the target amount of shares which will vest at the end of the performance period. The PSUs will be forfeited if the performance conditions are not achieved at the end of the relative performance periods as described above. The vesting of the PSUs can also be triggered upon certain change in control events. The weighted-average grant date fair values of the PSUs relating to the TSR component was $126.09 per share. Stock-based compensation expense recognized for the PSUs relating to the TSR component was approximately $0.1 million and $0.4 million, respectively for the three and nine months ended September 30, 2026. The measurement period for the TSR portion of the 2026 PSUs has not been met, and as such no shares have become exercisable. The Company estimated the fair values of shares granted under the market-based TSR PSUs using a Monte Carlo simulation model with the following assumptions:</w:t>
      </w:r>
    </w:p>
    <w:p>
      <w:pPr>
        <w:spacing w:after="0" w:line="200" w:lineRule="exact"/>
        <w:rPr>
          <w:sz w:val="20"/>
          <w:szCs w:val="20"/>
          <w:color w:val="auto"/>
        </w:rPr>
      </w:pPr>
    </w:p>
    <w:p>
      <w:pPr>
        <w:spacing w:after="0" w:line="223" w:lineRule="exact"/>
        <w:rPr>
          <w:sz w:val="20"/>
          <w:szCs w:val="20"/>
          <w:color w:val="auto"/>
        </w:rPr>
      </w:pPr>
    </w:p>
    <w:tbl>
      <w:tblPr>
        <w:tblLayout w:type="fixed"/>
        <w:tblInd w:w="3820" w:type="dxa"/>
        <w:tblCellMar>
          <w:top w:w="0" w:type="dxa"/>
          <w:left w:w="0" w:type="dxa"/>
          <w:bottom w:w="0" w:type="dxa"/>
          <w:right w:w="0" w:type="dxa"/>
        </w:tblCellMar>
      </w:tblPr>
      <w:tr>
        <w:trPr>
          <w:trHeight w:val="216"/>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0" w:lineRule="exact"/>
        <w:rPr>
          <w:sz w:val="20"/>
          <w:szCs w:val="20"/>
          <w:color w:val="auto"/>
        </w:rPr>
      </w:pPr>
    </w:p>
    <w:p>
      <w:pPr>
        <w:spacing w:after="0" w:line="21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granted 265,100 and 0 restricted stock units with service and performance based vesting conditions, respectively. During the nine months ended September 30, 2026, the Company granted 688,067 and 73,672 restricted stock units with service and performance based vesting conditions respectively. During the three months ended September 30, 2025, the Company granted 243,950 and 0 restricted stock units with service and performance based vesting conditions, respectively. During the nine months ended September 30, 2025, the company granted 736,050 and 285,723 restricted stock units with service and performance based vesting conditions respectively. As of September 30, 2026, the total unrecognized stock-based compensation expense for unvested restricted stock with service based vesting conditions was $72.3 million with a weighted average recognition period of 3.1 years.</w:t>
      </w:r>
    </w:p>
    <w:p>
      <w:pPr>
        <w:spacing w:after="0" w:line="200" w:lineRule="exact"/>
        <w:rPr>
          <w:sz w:val="20"/>
          <w:szCs w:val="20"/>
          <w:color w:val="auto"/>
        </w:rPr>
      </w:pP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recognized approximately $5.3 million of expense for restricted stock of which $3.9 million and $1.4 million was recorded in research and development and general and administrative expense, respectively. During the nine months ended September 30, 2026 the Company recognized approximately $14.2 million of expense for restricted stock of which $10.4 million and $3.8 million was recorded in research and development and general and administrative expense, respectively. During the three months ended September 30, 2025 the Company recognized approximately $2.8 million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expense for restricted stock of which $2.3 million and $0.5 million was recorded in research and development and general and administrative expense, respectively. During the nine months ended September 30, 2025 the Company recognized approximately $8.0 million of expense for restricted stock of which $5.8 million and $2.2 million was recorded in research and development and general and administrative expense, respectively.</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equity-based compensation expense recorded as research and development and general and administrative expenses for employees, directors, and non-employees during the three and nine months ended September 30, 2026 and 2025 is as follows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10,911</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6"/>
              </w:rPr>
              <w:t>29,862</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23,943</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6"/>
              </w:rPr>
              <w:t>23,920</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21,508</w:t>
            </w:r>
          </w:p>
        </w:tc>
        <w:tc>
          <w:tcPr>
            <w:tcW w:w="100" w:type="dxa"/>
            <w:vAlign w:val="bottom"/>
          </w:tcPr>
          <w:p>
            <w:pPr>
              <w:spacing w:after="0"/>
              <w:rPr>
                <w:sz w:val="18"/>
                <w:szCs w:val="18"/>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18,837</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6"/>
              </w:rPr>
              <w:t>53,782</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45,451</w:t>
            </w:r>
          </w:p>
        </w:tc>
        <w:tc>
          <w:tcPr>
            <w:tcW w:w="100" w:type="dxa"/>
            <w:vAlign w:val="bottom"/>
            <w:shd w:val="clear" w:color="auto" w:fill="CFF0FC"/>
          </w:tcPr>
          <w:p>
            <w:pPr>
              <w:spacing w:after="0"/>
              <w:rPr>
                <w:sz w:val="18"/>
                <w:szCs w:val="18"/>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-7620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jc w:val="right"/>
        <w:ind w:left="520" w:right="8800" w:hanging="512"/>
        <w:spacing w:after="0" w:line="400" w:lineRule="auto"/>
        <w:tabs>
          <w:tab w:leader="none" w:pos="281"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Related-Party Transactions </w:t>
      </w:r>
      <w:r>
        <w:rPr>
          <w:rFonts w:ascii="Times New Roman" w:cs="Times New Roman" w:eastAsia="Times New Roman" w:hAnsi="Times New Roman"/>
          <w:sz w:val="17"/>
          <w:szCs w:val="17"/>
          <w:b w:val="1"/>
          <w:bCs w:val="1"/>
          <w:i w:val="1"/>
          <w:iCs w:val="1"/>
          <w:color w:val="auto"/>
        </w:rPr>
        <w:t>Jefferies Sales Agreement</w:t>
      </w: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John Maraganore is a member of the Company’s Board of Directors, and is affiliated with Jefferies LLC (“Jefferies”). On October 31, 2024, prior to Dr. Maraganore joining Jefferies,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“Jefferies Sales Agreement”) with Jefferies, pursuant to which the Company may offer and sell shares of its common stock having aggregate gross proceeds of up to $300.0 million from time to time in “at-the-market” offerings through Jefferies, as its sales agent. The Company agreed to pay Jefferies a commission of up to 3.0% of the gross proceeds of any shares sold by Jefferies under the Jefferies Sales Agreement.</w:t>
      </w:r>
    </w:p>
    <w:p>
      <w:pPr>
        <w:spacing w:after="0" w:line="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26, 2026, Jefferies acknowledged and accepted the Company's prior written notice to terminate the Jefferies Sales Agreement, which termination was effective on February 26, 2026. As a result of such termination, the Company will not offer or sell any additional shares of common stock under the Jefferies Sales Agreement and as of its termination, the Company had not sold any shares of its common stock under the Jefferies Sales Agreement.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Sublease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July 14, 2026, the Company entered into a sublease agreement (the "Sublease") with Merida Biosciences, Inc. ("Merida"), pursuant to which the Company subleased the office/laboratory space governed by the 2019 Lease to Merida. Merida is considered a related party because one of the Company's directors, John Maraganore, also serves as a member of Merida's board of directors.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terms of the Sublease were reviewed and approved by the Company's Audit Committee in accordance with the Company's related party transaction policy. Management believes the terms of the Sublease are consistent with those that would have been negotiated with an unrelated third party.</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than the aforementioned agreement, the Company had no related party transactions for the periods presented in the accompanying consolidated financial statements, which have not otherwise been discussed in these notes to the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Income taxes for the three and nine months ended September 30, 2026 and 2025 have been calculated based on an estimated annual effective tax rate and certain discrete items. The Company recorded immaterial income tax expense related to investment income for the three and nine months ended September 30, 2026 and 2025.</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Basic and diluted loss per share is computed by dividing net loss by the weighted-average common stock outstanding for the period. The Company had 15,815,253 pre-funded warrants outstanding as of September 30, 2026 and 2025. Each pre-funded warrant is exercisable for one share of common stock at an exercise price of $0.0001 per share. Due to the nominal exercise price of the pre-funded warrants, they are considered to be outstanding shares of common stock for purposes of the calculation of earnings per share. (in thousands, except for share and per share data):</w:t>
      </w:r>
    </w:p>
    <w:p>
      <w:pPr>
        <w:spacing w:after="0" w:line="18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2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220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(131,999)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(82,175)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(262,444)</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(224,370)</w:t>
            </w:r>
          </w:p>
        </w:tc>
      </w:tr>
      <w:tr>
        <w:trPr>
          <w:trHeight w:val="216"/>
        </w:trPr>
        <w:tc>
          <w:tcPr>
            <w:tcW w:w="20" w:type="dxa"/>
            <w:vAlign w:val="bottom"/>
          </w:tcPr>
          <w:p>
            <w:pPr>
              <w:spacing w:after="0"/>
              <w:rPr>
                <w:sz w:val="18"/>
                <w:szCs w:val="18"/>
                <w:color w:val="auto"/>
              </w:rPr>
            </w:pPr>
          </w:p>
        </w:tc>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84,281,989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71,485,033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82,797,025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67,270,902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pre-funded warrants outstanding, basic and diluted</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15,815,253</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15,815,253</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15,815,253</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15,382,240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weighted average common stock outstanding, basic and diluted</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100,097,242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87,300,286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98,612,278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82,653,142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-454025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-454025</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-454025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-454025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-170815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-170815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at September 30, 2026 and 2025 because including them would have had an anti-dilutive effect:</w:t>
      </w:r>
    </w:p>
    <w:p>
      <w:pPr>
        <w:spacing w:after="0" w:line="204"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700" w:type="dxa"/>
        <w:tblCellMar>
          <w:top w:w="0" w:type="dxa"/>
          <w:left w:w="0" w:type="dxa"/>
          <w:bottom w:w="0" w:type="dxa"/>
          <w:right w:w="0" w:type="dxa"/>
        </w:tblCellMar>
      </w:tblPr>
      <w:tr>
        <w:trPr>
          <w:trHeight w:val="142"/>
        </w:trPr>
        <w:tc>
          <w:tcPr>
            <w:tcW w:w="53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1,501,129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1,366,012</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8,629,352</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10,543,593</w:t>
            </w:r>
          </w:p>
        </w:tc>
        <w:tc>
          <w:tcPr>
            <w:tcW w:w="80" w:type="dxa"/>
            <w:vAlign w:val="bottom"/>
          </w:tcPr>
          <w:p>
            <w:pPr>
              <w:spacing w:after="0"/>
              <w:rPr>
                <w:sz w:val="18"/>
                <w:szCs w:val="18"/>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10,130,481</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11,909,605</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segment and one operating segment, which is dedicated to reinventing the treatment of human disease through the development of innovative, highly differentiated medicines that address significant health problems and that meaningfully improve patients’ lives. The Company’s chief operating decision maker, or CODM, is the chief executive officer. The CODM assesses performance for the segment and decides how to allocate resources based on consolidated net loss that is also reported on the consolidated statements of operations.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sheets as total consolidated assets. All material long-lived assets are located in the United States. Long-lived assets consist of property and equipment, net, and operating lease right-of-use assets.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uses net loss to monitor budget versus actual results and to analyze cash flows in assessing performance of the segment and allocating resources.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of the notes to the consolidated financial statements included in the Company's Annual Report on Form 10-K.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reportable segment profit and loss, including significant expense categories, attributable to the Company’s reportable segment for the periods presented: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99,365</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36,341</w:t>
            </w:r>
          </w:p>
        </w:tc>
        <w:tc>
          <w:tcPr>
            <w:tcW w:w="120" w:type="dxa"/>
            <w:vAlign w:val="bottom"/>
            <w:shd w:val="clear" w:color="auto" w:fill="CFF0FC"/>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STAT6</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130,898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60,151</w:t>
            </w:r>
          </w:p>
        </w:tc>
        <w:tc>
          <w:tcPr>
            <w:tcW w:w="120" w:type="dxa"/>
            <w:vAlign w:val="bottom"/>
            <w:shd w:val="clear" w:color="auto" w:fill="CFF0FC"/>
          </w:tcPr>
          <w:p>
            <w:pPr>
              <w:spacing w:after="0"/>
              <w:rPr>
                <w:sz w:val="18"/>
                <w:szCs w:val="18"/>
                <w:color w:val="auto"/>
              </w:rPr>
            </w:pPr>
          </w:p>
        </w:tc>
      </w:tr>
      <w:tr>
        <w:trPr>
          <w:trHeight w:val="216"/>
        </w:trPr>
        <w:tc>
          <w:tcPr>
            <w:tcW w:w="6080" w:type="dxa"/>
            <w:vAlign w:val="bottom"/>
          </w:tcPr>
          <w:p>
            <w:pPr>
              <w:ind w:left="540"/>
              <w:spacing w:after="0" w:line="216" w:lineRule="exact"/>
              <w:rPr>
                <w:sz w:val="20"/>
                <w:szCs w:val="20"/>
                <w:color w:val="auto"/>
              </w:rPr>
            </w:pPr>
            <w:r>
              <w:rPr>
                <w:rFonts w:ascii="Times New Roman" w:cs="Times New Roman" w:eastAsia="Times New Roman" w:hAnsi="Times New Roman"/>
                <w:sz w:val="18"/>
                <w:szCs w:val="18"/>
                <w:color w:val="auto"/>
              </w:rPr>
              <w:t xml:space="preserve">Other external research and development expense </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71,634</w:t>
            </w:r>
          </w:p>
        </w:tc>
        <w:tc>
          <w:tcPr>
            <w:tcW w:w="120" w:type="dxa"/>
            <w:vAlign w:val="bottom"/>
          </w:tcPr>
          <w:p>
            <w:pPr>
              <w:spacing w:after="0"/>
              <w:rPr>
                <w:sz w:val="18"/>
                <w:szCs w:val="18"/>
                <w:color w:val="auto"/>
              </w:rPr>
            </w:pPr>
          </w:p>
        </w:tc>
      </w:tr>
      <w:tr>
        <w:trPr>
          <w:trHeight w:val="216"/>
        </w:trPr>
        <w:tc>
          <w:tcPr>
            <w:tcW w:w="6080" w:type="dxa"/>
            <w:vAlign w:val="bottom"/>
            <w:shd w:val="clear" w:color="auto" w:fill="CFF0FC"/>
          </w:tcPr>
          <w:p>
            <w:pPr>
              <w:ind w:left="32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compensation and related personnel expense </w:t>
            </w:r>
            <w:r>
              <w:rPr>
                <w:rFonts w:ascii="Times New Roman" w:cs="Times New Roman" w:eastAsia="Times New Roman" w:hAnsi="Times New Roman"/>
                <w:sz w:val="24"/>
                <w:szCs w:val="24"/>
                <w:color w:val="auto"/>
                <w:vertAlign w:val="superscript"/>
              </w:rPr>
              <w:t>(2)</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22,323</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86,187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66,330</w:t>
            </w:r>
          </w:p>
        </w:tc>
        <w:tc>
          <w:tcPr>
            <w:tcW w:w="120" w:type="dxa"/>
            <w:vAlign w:val="bottom"/>
            <w:shd w:val="clear" w:color="auto" w:fill="CFF0FC"/>
          </w:tcPr>
          <w:p>
            <w:pPr>
              <w:spacing w:after="0"/>
              <w:rPr>
                <w:sz w:val="18"/>
                <w:szCs w:val="18"/>
                <w:color w:val="auto"/>
              </w:rPr>
            </w:pPr>
          </w:p>
        </w:tc>
      </w:tr>
      <w:tr>
        <w:trPr>
          <w:trHeight w:val="216"/>
        </w:trPr>
        <w:tc>
          <w:tcPr>
            <w:tcW w:w="6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120" w:type="dxa"/>
            <w:vAlign w:val="bottom"/>
          </w:tcPr>
          <w:p>
            <w:pPr>
              <w:spacing w:after="0"/>
              <w:rPr>
                <w:sz w:val="18"/>
                <w:szCs w:val="18"/>
                <w:color w:val="auto"/>
              </w:rPr>
            </w:pPr>
          </w:p>
        </w:tc>
      </w:tr>
      <w:tr>
        <w:trPr>
          <w:trHeight w:val="216"/>
        </w:trPr>
        <w:tc>
          <w:tcPr>
            <w:tcW w:w="608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General &amp; administrative </w:t>
            </w:r>
            <w:r>
              <w:rPr>
                <w:rFonts w:ascii="Times New Roman" w:cs="Times New Roman" w:eastAsia="Times New Roman" w:hAnsi="Times New Roman"/>
                <w:sz w:val="24"/>
                <w:szCs w:val="24"/>
                <w:color w:val="auto"/>
                <w:vertAlign w:val="superscript"/>
              </w:rPr>
              <w:t>(3)</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51,252</w:t>
            </w:r>
          </w:p>
        </w:tc>
        <w:tc>
          <w:tcPr>
            <w:tcW w:w="120" w:type="dxa"/>
            <w:vAlign w:val="bottom"/>
            <w:shd w:val="clear" w:color="auto" w:fill="CFF0FC"/>
          </w:tcPr>
          <w:p>
            <w:pPr>
              <w:spacing w:after="0"/>
              <w:rPr>
                <w:sz w:val="18"/>
                <w:szCs w:val="18"/>
                <w:color w:val="auto"/>
              </w:rPr>
            </w:pPr>
          </w:p>
        </w:tc>
      </w:tr>
      <w:tr>
        <w:trPr>
          <w:trHeight w:val="216"/>
        </w:trPr>
        <w:tc>
          <w:tcPr>
            <w:tcW w:w="608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Interest and other expense </w:t>
            </w:r>
            <w:r>
              <w:rPr>
                <w:rFonts w:ascii="Times New Roman" w:cs="Times New Roman" w:eastAsia="Times New Roman" w:hAnsi="Times New Roman"/>
                <w:sz w:val="24"/>
                <w:szCs w:val="24"/>
                <w:color w:val="auto"/>
                <w:vertAlign w:val="superscript"/>
              </w:rPr>
              <w:t>(4)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20" w:type="dxa"/>
            <w:vAlign w:val="bottom"/>
          </w:tcPr>
          <w:p>
            <w:pPr>
              <w:spacing w:after="0"/>
              <w:rPr>
                <w:sz w:val="18"/>
                <w:szCs w:val="18"/>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120" w:type="dxa"/>
            <w:vAlign w:val="bottom"/>
          </w:tcPr>
          <w:p>
            <w:pPr>
              <w:spacing w:after="0"/>
              <w:rPr>
                <w:sz w:val="18"/>
                <w:szCs w:val="18"/>
                <w:color w:val="auto"/>
              </w:rPr>
            </w:pPr>
          </w:p>
        </w:tc>
      </w:tr>
      <w:tr>
        <w:trPr>
          <w:trHeight w:val="249"/>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4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(131,999</w:t>
            </w:r>
          </w:p>
        </w:tc>
        <w:tc>
          <w:tcPr>
            <w:tcW w:w="1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(82,175)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(262,444</w:t>
            </w:r>
          </w:p>
        </w:tc>
        <w:tc>
          <w:tcPr>
            <w:tcW w:w="1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(224,370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prior period amounts have been recast to conform with current period presentation.</w:t>
      </w:r>
    </w:p>
    <w:p>
      <w:pPr>
        <w:spacing w:after="0" w:line="26" w:lineRule="exact"/>
        <w:rPr>
          <w:rFonts w:ascii="Times New Roman" w:cs="Times New Roman" w:eastAsia="Times New Roman" w:hAnsi="Times New Roman"/>
          <w:sz w:val="16"/>
          <w:szCs w:val="16"/>
          <w:color w:val="auto"/>
        </w:rPr>
      </w:pPr>
    </w:p>
    <w:p>
      <w:pPr>
        <w:jc w:val="both"/>
        <w:ind w:right="100" w:firstLine="8"/>
        <w:spacing w:after="0" w:line="264" w:lineRule="auto"/>
        <w:tabs>
          <w:tab w:leader="none" w:pos="22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compensation and related personnel expense for the three months ended September 30, 2026 and 2025 is inclusive of $10.9 and $8.4 million of stock-based compensation expense, respectively. Research and development compensation and related personnel expense for the nine months ended September 30, 2026 and 2025 is inclusive of $29.9 million and $23.9 million of stock-based compensation expense, respectively.</w:t>
      </w:r>
    </w:p>
    <w:p>
      <w:pPr>
        <w:jc w:val="both"/>
        <w:ind w:right="80" w:firstLine="8"/>
        <w:spacing w:after="0" w:line="264" w:lineRule="auto"/>
        <w:tabs>
          <w:tab w:leader="none" w:pos="22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 for the three months ended September 30, 2026 and 2025 is inclusive of $7.9 million and $7.4 million of stock-based compensation expense, respectively. General and administrative expense for the nine months ended September 30, 2026 and 2025 is inclusive of $23.9 million and $21.5 million of stock-based compensation expense, respectively.</w:t>
      </w: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 for the three and nine months ended September 30, 2025 is inclusive of a $3.9 million impairment of long-lived assets.</w:t>
      </w:r>
    </w:p>
    <w:p>
      <w:pPr>
        <w:spacing w:after="0" w:line="22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2026 and 2025 was $1.6 million and $1.7 million, respectively. Depreciation expense for the nine months ended September 30, 2026 and 2025 was $4.8 million and $5.1 million, respectively. Amortization expense related to right-of-use assets during the three months ended September 30, 2026 and 2025 was $0.4 million and $0.4 million, respectively. Amortization expense related to right-of-use assets during the nine months ended September 30, 2026 and 2025 was $1.3 million and $1.2 million,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left="10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beliefs,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reinventing the treatment of human disease through the development of innovative, highly differentiated oral medicines that address significant health problems and meaningfully improve patients’ lives. We are committed to advancing novel technologies to address targets that have known disease-causing biology, but which have not been drugged, or have been inadequately drugged, often based on limitations of existing technologies. Our approach is intended to discover and develop a new generation of medicines in a disease-agnostic manner.</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leader in targeted protein degradation (TPD), a next-generation small molecule therapeutic modality that engages the body’s natural cellular recycling system to selectively eliminate disease-causing proteins. Our objective is to develop molecules that are both potent and highly selective, creating the unique potential to address diseases that are poorly served by current treatment options. To date, we have progressed multiple programs into clinical development and expect to advance at least one new molecular entity into clinical testing annually. We intend to leverage our drug development expertise to become a fully integrated biopharmaceutical company with an industry-leading pipeline of novel medicines.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discovery and development efforts are primarily directed at high-value targets in immunology. We believe there are more than 160 million patients in the United States, Europe and Japan that are diagnosed with some of the most prevalent immune-inflammatory diseases that our programs have the potential to address, nearly half of whom remain untreated. Of those treated, most patients are treated with therapies that do not treat the underlying diseases but mostly their symptoms. As a result, only a small percentage of patients, which we believe to be approximately 3% of the diagnosed population with moderate to severe inflammatory diseases, are currently treated with systemic advanced therapies, mostly injectable biologics. While generally efficacious, biologics have drawbacks. Biologics tend to be more expensive to manufacture, and the cost burden ultimately falls on patients and payors. Patient access to therapy can also be a challenge, as biologics can be more complex to prescribe and reimburse than small molecule medicines. Additionally, biologics are administered as injections - which may result in injection site reactions or pain - a less preferred route of administration as compared to oral medications, which offer greater flexibility for patients. We believe we have the potential to deliver a compelling value proposition to a significant underserved patient population: small molecule medicines with biologics-like activity through the convenience of a daily, oral pill.</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publicly disclosed oral immunology programs target STAT6, IRF5 and IRAK4, each of which addresses targets within validated pathways, providing the opportunity to treat a broad range of diseases. We are developing KT-621 as part of our STAT6 program, which is currently being evaluated in the BROADEN2 Phase 2b clinical trial in adult and adolescent patients with moderate to severe Atopic Dermatitis (AD) and the BREADTH Phase 2b clinical trial in adult patients with moderate to severe asthma. As part of our oral IRF5 degrader program, we are also developing KT-579, which has completed a Phase 1 clinical trial in healthy volunteers and is expected to advance into a Phase 1b trial in lupus patients. We are collaborating with Sanofi S.A. (“Sanofi”) on the development of our IRAK4 degrader, KT-485/SAR447971, which is being evaluated in a Phase 1 clinical trial. We are also collaborating with Gilead Sciences, Inc. (“Gilead”) on the development of our oral CDK2 molecular glue degrader, KT-200, which is currently in IND-enabling studies. Our additional early undisclosed pipeline programs focus on addressing high impact targets that have been elusive to conventional modalities and that drive the pathogenesis of multiple serious diseases with significant unmet medical needs.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immunology focus, we also have research initiatives in other therapeutic areas. Additionally, we believe many of our key discovery and development capabilities have broad applicability, creating an opportunity for us to develop impactful therapies leveraging small-molecule modalities in addition to TPD.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our efforts to organizing and staffing our company, research and development activities, business planning, raising capital, building our intellectual property portfolio and providing general and administrative support for these operations. Through September 30, 2026, we have received gross proceeds of $3.03 billion from sales of our convertible preferred stock, the sale of common stock including our August 2020 initial public offering, or IPO, and concurrent private placement, our subsequent follow-on offerings and private placement offering, our sales agreements with Cowen and through our corporate collaborations.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ability to generate product revenue sufficient to achieve profitability will depend heavily on the successful development and eventual commercialization of one or more of our current product candidates or any future product candidates. Our net losses were $311.4 million and $223.9 million for the years ended December 31, 2025 and 2024, respectively. We reported net losses of $132.0 million and $262.4 million for the three and nine months ended September 30, 2026 respectively, and $82.2 million and $224.4 million for the three and nine months ended September 30, 2025, respectively. In addition, as of September 30, 2026 and December 31, 2025, we had an accumulated deficit of $1,328 million and $1,066 million, respectively. We expect that our expense and capital requirements will increase substantially in connection with our ongoing activities, particularly if and as we:</w:t>
      </w:r>
    </w:p>
    <w:p>
      <w:pPr>
        <w:spacing w:after="0" w:line="32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U.S Food and Drug Administration, or FDA, for future product candidates;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drug discovery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3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2026, we had cash, cash equivalents and marketable securities of $1,646 million. We believe the existing cash, cash equivalents and marketable securities on hand will be sufficient to fund our operations into 2029, beyond multiple clinical inflection points in our pipeline. We have based this estimate on assumptions that may prove to be wrong, and we could exhaust our available capital resources sooner than we expect. See “Liquidity and capital resources”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Our only revenues have been derived from research collaboration arrangements with Vertex, Sanofi, and Gilead. We expect that our revenue for the next several years will be derived primarily from our current collaboration agreements and any additional collaborations that we may enter into in the future. To date, we have not received any royalties under any of the collaboration agreements.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Agreement</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June 25, 2025, we entered into an exclusive option and license agreement (the “Gilead Agreement”) with Gilead Sciences, Inc. (“Gilead”), to collaborate on developing novel molecular glue degraders directed against cyclin-dependent kinase 2 (“CDK2”). Under the Gilead Agreement, we granted to Gilead an exclusive option, exercisable during a defined option period, to exercise an exclusive, worldwide license to develop, manufacture, and commercialize certain CDK2 degraders generated under the collaboration.</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Gilead Agreement, we were responsible for all discovery and preclinical research activities through the delivery of a complete data package as defined in the agreement. After receiving the complete data package, Gilead exercised its option to license the program and now has global rights to develop, manufacture and commercialize all products resulting from the collaboration.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Following option exercise, the Gilead Agreement will expire on a product-by-product and country-by-country basis upon the expiration of all royalty obligations under the agreement. Gilead may terminate the agreement for convenience upon advance written notice. Each party may also terminate the agreement for material breach, insolvency, and the agreement may be terminated for certain other customary reasons, including Gilead’s right to terminate certain provisions of the agreement following a change of control of our company.</w:t>
      </w:r>
    </w:p>
    <w:p>
      <w:pPr>
        <w:spacing w:after="0" w:line="7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consideration for the exclusive option and rights granted under the Gilead Agreement, we received a non-refundable upfront payment of $40.0 million. Further in April 2026, Gilead exercised its exclusive option to license KT-200, an oral CDK2 molecular glue degrader as a development candidate. As a result, we earned an option exercise payment of $45.0 million received and recognized as revenue in the second quarter of 2026. We remain eligible to receive up to an additional $665.0 million upon the achievement of certain development, regulatory and commercial milestones. We are also eligible to receive tiered royalties on net sales by Gilead ranging from high single-digit to mid-teen percentages, subject to customary reductions in certain circumstances.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7, 2020, we entered into a collaboration agreement, or the Sanofi Agreement, with Sanofi to co-develop drug candidates directed to two biological targets. 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immuno-oncology. We are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exclusive option, or Opt-In Right, exercisable on a collaboration-target-by-collaboration-target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the Opt-In Right, Sanofi will grant us an exclusive option, applicable to each collaboration target, which upon exercise will allow us to conduct certain co-promotion activities in the field in the United States.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We will further be eligible to receive tiered royalties on net sales ranging from the high single digits to high teens, subject to low-single digits upward adjustments in certain circumstances. As of September 30, 2026, we have achieved $95.0 million of milestones under the Sanofi Agreement related to certain IRAK4 clinical and preclinical milestones.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us with written notice of its intention to advance the collaboration target 1 candidate, KT-474, into Phase 2 clinical trials for which we received milestone payments as further set forth in the Amended Sanofi Agreement. Phase 2 clinical trials of KT-474 are initially investigating its potential in HS and AD with the clinical trial for both indications having been initiated and commenced dosing in 2023.</w:t>
      </w:r>
    </w:p>
    <w:p>
      <w:pPr>
        <w:spacing w:after="0" w:line="180"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In June 2025, Sanofi communicated its decision to exercise its full participation election under the terms of the companies’ collaboration agreement, and to advance KT-485/SAR447971, into clinical testing. As a result, Sanofi stopped development of KT-474. In June 2026, Sanofi informed us that the first participant was dosed in the first-in-human Phase 1 clinical trial evaluating KT-485/SAR447971, resulting in the achievement of a $20 million milestone.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IRAK4 program, we remain eligible to receive up to an additional $955 million in development and commercial milestones upon the achievement of certain developmental or regulatory events and upon the achievement of certain net sales thresholds.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September 2023, we mutually agreed to cease activities related to the undisclosed second target and we are no longer eligible for the milestone and royalty payments associated with the second target.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expenses.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targeted protein degradation therapeutics. These research efforts and costs include external research costs, personnel costs, supplies, license fees and facility-related expenses. We expense research and development costs as incurred. These expenses include:</w:t>
      </w:r>
    </w:p>
    <w:p>
      <w:pPr>
        <w:spacing w:after="0" w:line="68" w:lineRule="exact"/>
        <w:rPr>
          <w:sz w:val="20"/>
          <w:szCs w:val="20"/>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 parties, including contract research organizations, or CROs, and other third parties that conduct clinical trials and preclinical activities on our behalf;</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or CMOs, that are primarily engaged to provide drug substance and product for our preclinical research and development programs, nonclinical studies, clinical trials and other scientific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clinical and nonclinical trial materials, including manufacturing registration and validation batches;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and insurance;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future product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if any of our product candidates are approved;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including the timing and enrollment of patients in our planned clinical trials, or to those of our manufacturers, suppliers, or other vendors resulting from a future pandemic or similar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for our therapies following approval.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being a public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and other income and expense,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and expense consists of interest earned on our invested cash balances and interest expense related to our financing leases.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three months ended September 30, 2026 and 2025</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2026 and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1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(2,764)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128,509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74,094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(3,855)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147,232</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95,285</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51,947</w:t>
            </w:r>
          </w:p>
        </w:tc>
        <w:tc>
          <w:tcPr>
            <w:tcW w:w="8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(147,232)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(92,521)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(54,711)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34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96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(131,999</w:t>
            </w:r>
          </w:p>
        </w:tc>
        <w:tc>
          <w:tcPr>
            <w:tcW w:w="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CFF0FC"/>
            </w:tcBorders>
            <w:gridSpan w:val="2"/>
            <w:shd w:val="clear" w:color="auto" w:fill="CFF0FC"/>
          </w:tcPr>
          <w:p>
            <w:pPr>
              <w:jc w:val="right"/>
              <w:ind w:right="208"/>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FF0FC"/>
            </w:tcBorders>
            <w:gridSpan w:val="2"/>
            <w:shd w:val="clear" w:color="auto" w:fill="CFF0FC"/>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(82,175)</w:t>
            </w:r>
          </w:p>
        </w:tc>
        <w:tc>
          <w:tcPr>
            <w:tcW w:w="300" w:type="dxa"/>
            <w:vAlign w:val="bottom"/>
            <w:tcBorders>
              <w:top w:val="single" w:sz="8" w:color="CFF0FC"/>
            </w:tcBorders>
            <w:gridSpan w:val="2"/>
            <w:shd w:val="clear" w:color="auto" w:fill="CFF0FC"/>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tcBorders>
            <w:gridSpan w:val="2"/>
            <w:shd w:val="clear" w:color="auto" w:fill="CFF0FC"/>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(49,824)</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4"/>
                <w:szCs w:val="24"/>
                <w:color w:val="auto"/>
              </w:rPr>
            </w:pPr>
          </w:p>
        </w:tc>
        <w:tc>
          <w:tcPr>
            <w:tcW w:w="334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-1508125</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-1508125</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-1508125</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-933450</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-916305</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-1079500</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-933450</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-916305</wp:posOffset>
            </wp:positionV>
            <wp:extent cx="514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Collaboration revenues were $0 and $2.8 million for the three months ended September 30, 2026 and 2025, respectively. All of the revenue recognized for the three months ended September 30, 2025 is attributable to payments achieved under our collaboration agreements with Gilead.</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52,014</w:t>
            </w:r>
          </w:p>
        </w:tc>
        <w:tc>
          <w:tcPr>
            <w:tcW w:w="5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31,023</w:t>
            </w:r>
          </w:p>
        </w:tc>
        <w:tc>
          <w:tcPr>
            <w:tcW w:w="58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compensation and related personnel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5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580" w:type="dxa"/>
            <w:vAlign w:val="bottom"/>
            <w:tcBorders>
              <w:bottom w:val="single" w:sz="8" w:color="CFF0FC"/>
            </w:tcBorders>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128,509</w:t>
            </w:r>
          </w:p>
        </w:tc>
        <w:tc>
          <w:tcPr>
            <w:tcW w:w="220" w:type="dxa"/>
            <w:vAlign w:val="bottom"/>
          </w:tcPr>
          <w:p>
            <w:pPr>
              <w:spacing w:after="0"/>
              <w:rPr>
                <w:sz w:val="17"/>
                <w:szCs w:val="17"/>
                <w:color w:val="auto"/>
              </w:rPr>
            </w:pPr>
          </w:p>
        </w:tc>
        <w:tc>
          <w:tcPr>
            <w:tcW w:w="36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74,094</w:t>
            </w:r>
          </w:p>
        </w:tc>
        <w:tc>
          <w:tcPr>
            <w:tcW w:w="40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54,415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-179070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-179070</wp:posOffset>
            </wp:positionV>
            <wp:extent cx="596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$128.5 million for the three months ended September 30, 2026, compared to $74.1 million for the three months ended September 30, 2025. The increase of $54.4 million was primarily due to a $34.7 million increase in costs related to our STAT6 program, a $10.7 million increase in personnel, equity-based compensation, occupancy, and other internal costs due to increased investment in employee talent and facilities in the research and development functions, and a $9.1 million increase in activities related to our non-STAT6 programs.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$18.7 million for the three months ended September 30, 2026, compared to $17.3 million for the three months ended September 30, 2025. This increase of $1.4 million was primarily due to an increase in legal and professional service fees, personnel, facility, occupancy, and other expenses to support our growth. Equity-based compensation expenses included in general and administrative expenses were $7.9 million and $7.4 million for the three months ended September 30, 2026 and 2025, respectively.</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was no impairment on long-lived assets for the three months ended September 30, 2026, compared to $3.9 million for three months ended September 30, 2025. The decrease of $3.9 million was the result of an incremental impairment charge taken on the 2019 Lease due to the continued worsening of market conditions for office and laboratory space in the area of the 2019 Lease.</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$15.2 million for the three months ended September 30, 2026, compared to $10.3 million for the three months ended September 30, 2025. The $4.9 million increase was primarily due to an increase in the cash, cash equivalents, and marketable securities balances resulting in higher interest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i w:val="1"/>
          <w:iCs w:val="1"/>
          <w:color w:val="auto"/>
        </w:rPr>
        <w:t>Comparison of nine months ended September 30, 2026 and 2025</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2026 and 2025:</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99,365</w:t>
            </w: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36,341</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346,152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(3,855)</w:t>
            </w:r>
          </w:p>
        </w:tc>
        <w:tc>
          <w:tcPr>
            <w:tcW w:w="0" w:type="dxa"/>
            <w:vAlign w:val="bottom"/>
          </w:tcPr>
          <w:p>
            <w:pPr>
              <w:spacing w:after="0"/>
              <w:rPr>
                <w:sz w:val="1"/>
                <w:szCs w:val="1"/>
                <w:color w:val="auto"/>
              </w:rPr>
            </w:pPr>
          </w:p>
        </w:tc>
      </w:tr>
      <w:tr>
        <w:trPr>
          <w:trHeight w:val="210"/>
        </w:trPr>
        <w:tc>
          <w:tcPr>
            <w:tcW w:w="44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406,359</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287,844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(306,994)</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(251,503)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(55,491)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(262,444)</w:t>
            </w:r>
          </w:p>
        </w:tc>
        <w:tc>
          <w:tcPr>
            <w:tcW w:w="64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(224,370)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(38,074)</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-591185</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-591185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Collaboration revenues were $99.4 million and $36.3 million for the nine months ended September 30, 2026 and 2025, respectively. The revenue recognized for the nine months ended September 30, 2026 and September 30, 2025 is attributable to our collaboration agreements with Gilead and Sanofi.</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STAT6</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130,898</w:t>
            </w:r>
          </w:p>
        </w:tc>
        <w:tc>
          <w:tcPr>
            <w:tcW w:w="76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60,151</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88,051</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71,634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compensation and related personnel expense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86,187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41,016</w:t>
            </w:r>
          </w:p>
        </w:tc>
        <w:tc>
          <w:tcPr>
            <w:tcW w:w="2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346,152</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232,737</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$346.2 million for the nine months ended September 30, 2026, compared to $232.7 million for the nine months ended September 30, 2025. The increase of $113.4 million was primarily due to a $70.7 million increase in costs related to our STAT6 program, a $26.3 million increase in personnel, equity-based compensation, occupancy, and other internal costs due to increased investment in employee talent and facilities in the research and development functions, and a $16.4 million increase in activities related to our non-STAT6 programs.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$60.2 million for the nine months ended September 30, 2026, compared to $51.3 million for the nine months ended September 30, 2025. This increase of $8.9 million was primarily due to an increase in legal and professional service fees, personnel, facility, occupancy, and other expenses to support our growth. Equity-based compensation expenses included in general and administrative expenses were $23.9 million and $21.5 million for the nine months ended September 30, 2026 and 2025,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was no impairment on long-lived assets for the nine months ended September 30, 2026, compared to $3.9 million for nine months ended September 30, 2025. The decrease of $3.9 million was the result of an incremental impairment charge taken on the 2019 Lease due to the continued worsening of market conditions for office and laboratory space in the area of the 2019 Lease</w:t>
      </w:r>
      <w:r>
        <w:rPr>
          <w:rFonts w:ascii="Times New Roman" w:cs="Times New Roman" w:eastAsia="Times New Roman" w:hAnsi="Times New Roman"/>
          <w:sz w:val="21"/>
          <w:szCs w:val="21"/>
          <w:color w:val="auto"/>
        </w:rPr>
        <w:t>.</w:t>
      </w:r>
    </w:p>
    <w:p>
      <w:pPr>
        <w:spacing w:after="0" w:line="2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$44.6 million for the nine months ended September 30, 2026, compared to $27.1 million for the nine months ended September 30, 2025. The $17.5 million increase was primarily due to an increase in the cash, cash equivalents, and marketable securities balances resulting in higher interest income.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not yet generated any revenue from any product sales, and we have incurred significant operating losses since our inception. We have not yet commercialized any products and we do not expect to generate revenue from sales of products for several years, if at all. Through September 30, 2026, we have received gross proceeds of $3.03 billion from sales of our convertible preferred stock, the sale of common stock including our August 2020 initial public offering, or IPO, and concurrent private placement, our follow-on offerings and private placement offering, our sales agreements with Cowen and through our corporate collaborations. As of September 30, 2026, we had cash and cash equivalents and marketable securities of $1,646 million.</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2021, we entered into a sales agreement, or Prior Cowen Sales Agreement, with Cowen, pursuant to which we were able to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Prior Cowen Sales Agreement. As of September 30, 2026, we have sold 1,519,453 shares of common stock under the Prior Cowen Sales Agreement resulting in gross proceeds of approximately $50 million. On October 30, 2024, Cowen acknowledged and accepted our prior written notice to terminate the Prior Cowen Sales Agreement, which termination was effective on October 30, 2024. As a result of such termination, we will not offer or sell any additional shares of common stock under the Prior Cowen Sales Agreement.</w:t>
      </w:r>
    </w:p>
    <w:p>
      <w:pPr>
        <w:spacing w:after="0" w:line="9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Jefferies Sales Agreement, with Jefferies LLC, or Jefferies, pursuant to which we were able to offer and sell shares of our common stock having aggregate gross proceeds of up to $300.0 million from time to time in “at-the-market” offerings through Jefferies, as our sales agent. We agreed to pay Jefferies a commission of up to 3.0% of the gross proceeds of any shares sold by Jefferies under the Sales Agreement. On February 26, 2026, Jefferies acknowledged and accepted our prior written notice to terminate the Jefferies Sales Agreement, which termination was effective on February 26, 2026. As a result of such termination, we will not offer or sell any additional shares of common stock under the Jefferies Sales Agreement and as of its termination, we had not sold any shares of its common stock under the Jefferies Sales Agreement.</w:t>
      </w:r>
    </w:p>
    <w:p>
      <w:pPr>
        <w:spacing w:after="0" w:line="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February 26, 2026, we entered into a sales agreement, or Cowen Sales Agreement, with Cowen, pursuant to which we may offer and sell shares of our common stock having aggregate gross proceeds of up to $500.0 million from time to time in “at-the-market” offerings through Cowen, as our sales agent. We agreed to pay Cowen a commission of up to 3.0% of the gross proceeds of any shares sold by Cowen under the Cowen Sales Agreement. As of September 30, 2026 we have sold 2,032,140 shares of common stock under the Cowen Sales Agreement resulting in gross proceeds of approximately $219.9 million.</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46"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(220,818)</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(166,144)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(126,663)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258,754</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285,494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16,772</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(7,313)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1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-1079500</wp:posOffset>
            </wp:positionV>
            <wp:extent cx="431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431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8" w:name="page39"/>
    <w:bookmarkEnd w:id="38"/>
    <w:p>
      <w:pPr>
        <w:ind w:left="520"/>
        <w:spacing w:after="0"/>
        <w:rPr>
          <w:sz w:val="20"/>
          <w:szCs w:val="20"/>
          <w:color w:val="auto"/>
        </w:rPr>
      </w:pPr>
      <w:r>
        <w:rPr>
          <w:rFonts w:ascii="Times New Roman" w:cs="Times New Roman" w:eastAsia="Times New Roman" w:hAnsi="Times New Roman"/>
          <w:sz w:val="18"/>
          <w:szCs w:val="18"/>
          <w:i w:val="1"/>
          <w:iCs w:val="1"/>
          <w:color w:val="auto"/>
        </w:rPr>
        <w:t>Cash Flow used in Operating Activities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cash used in operating activities was $220.8 million, primarily resulting from our net loss of $262.4 million during the period and a $11.6 million net decrease in other operating assets and liabilities primarily driven by changes in contract assets, deferred revenue, accounts payable, accrued expenses and operating lease liabilities. This was partially offset by adjustments for non-cash items of $53.2 million primarily consisting of stock-based compensation, depreciation &amp; amortization and premiums &amp; discounts on available-for sale-securities.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operating activities was $166.1 million, primarily resulting from our net loss of $224.4 million during the period partially offset by a $9.5 million net increase in other operating assets and liabilities primarily driven by changes in contract assets, deferred revenue, accounts payable, accrued expenses and operating lease liabilities as well as adjustments for non-cash items of $48.8 million (primarily consisting of stock-based compensation, lease impairment, depreciation &amp; amortization and premiums &amp; discounts on available-sale-securities).</w:t>
      </w:r>
    </w:p>
    <w:p>
      <w:pPr>
        <w:spacing w:after="0" w:line="200" w:lineRule="exact"/>
        <w:rPr>
          <w:sz w:val="20"/>
          <w:szCs w:val="20"/>
          <w:color w:val="auto"/>
        </w:rPr>
      </w:pPr>
    </w:p>
    <w:p>
      <w:pPr>
        <w:spacing w:after="0" w:line="3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used in Investing Activities</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cash used in investing activities was $21.2 million comprised of purchases of marketable securities of $451.6 million, partially offset by maturities of marketable securities of $431.6 million and purchases of property and equipment of $1.2 million.</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investing activities was $126.7 million comprised of purchases of marketable securities of $509.5 million and purchases of property and equipment of $1.3 million, partially offset by maturities of marketable securities of $384.1 million.</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Financin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i w:val="1"/>
          <w:iCs w:val="1"/>
          <w:color w:val="auto"/>
        </w:rPr>
        <w:t xml:space="preserve">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net cash provided by financing activities was $258.8 million, consisting of $215.4 million in net proceeds from the issuance of common stock through at-the-market sales agreement, $43.2 million in proceeds from the exercise of employee stock options and $1.5 million from issuance of shares under our employee stock purchase plan, partially offset by finance lease payments of $1.3 million.</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net cash provided by financing activities was $285.5 million, consisting of $272.7 million in proceeds from the issuance of common stock and accompanying pre-funded warrants, net of offering costs, $12.8 million in proceeds from the exercise of employee stock options, $1.1 million of proceeds from our employee stock purchase plan, partially offset by finance lease payments of $1.1 million.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later-stage clinical development of our product candidates. In addition, we expect to incur additional costs associated with operating as a public company.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w:t>
      </w:r>
    </w:p>
    <w:p>
      <w:pPr>
        <w:spacing w:after="0" w:line="72" w:lineRule="exact"/>
        <w:rPr>
          <w:sz w:val="20"/>
          <w:szCs w:val="20"/>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key collaborators;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grow our business, including hiring key personnel and maintaining or acquiring operating space;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9" w:name="page40"/>
    <w:bookmarkEnd w:id="39"/>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approved product candidates, including product pricing, as well as product coverage and the adequacy of reimbursement by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and that we determine to commercialize;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the existing cash, cash equivalents and marketable securities of $1,646 million as of September 30, 2026, will enable us to fund our operating expenses and capital expenditure requirements into 2029. We have based this estimate on assumptions that may prove to be wrong, and we could exhaust our available capital resources sooner than we expect. We expect that we will require additional funding to continue the clinical development of our clinical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macroeconomic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2026, we had outstanding pre-funded warrants to purchase 15,815,253 shares of common stock, each with an exercise price of $0.0001 per share. These warrants can be exercised at any time at the discretion of the holders, subject to certain ownership limitations. While the potential exercise of these pre-funded warrants would result in the issuance of additional shares, thus increasing the total shares outstanding, their nominal exercise price means they are already considered outstanding for purposes of calculating our weighted average common stock outstanding and earnings per share. Due to the minimal exercise price, we do not anticipate significant additional cash proceeds upon exercise and consequently does not expect the exercise of these warrants to materially affect liquidity, capital resources, or overall financial condition.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contractual obligations and commitments described under “Management’s Discussion and Analysis of Financial Condition and Results of Operations” in our Annual Report on Form 10-K for the fiscal year ended December 31, 2025.</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nine months ended September 30, 2026, there were no material changes to our critical accounting policies from those described in our Annual Report Form 10-K filed with the SEC on February 26, 2026.</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September 30, 2026, we had no significant liabilities denominated in foreign currencies.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third party vendors, and clinical trial costs. The global macroeconomic environment has experienced, and continues to experience, extraordinary challenges.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1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September 30, 2026, the end of the period covered by this Quarterly Report. Based upon such evaluation, our Chief Executive Officer and Chief Financial Officer have concluded that our disclosure controls and procedures were effective at the reasonable assurance level as of such date.</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Quarterly Report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carefully consider the material and other risks and uncertainties described and summarized below, as well as the other information in this Quarterly Report on Form 10-Q, including our consolidated financial statements and related notes and the section titled “Management’s Discussion and Analysis of Financial Condition and Results of Operations” and “Special Note Regarding Forward-Looking Statements,” before you make an investment decision. Our actual results could differ materially from those anticipated in the forward-looking statements as a result of factors that are described below and elsewhere in this Quarterly Report on Form 10-Q. The risks described below are not the only risks that we face. The occurrence of any of the events or developments described below could harm our business, financial condition, results of operations and prospects. As a result, the market price of our common stock could decline, and you may lose all or part of your investment in our common stock. New risks can emerge from time to time, and it is not possible to predict the impact that any factor or combination of factors may have on our business, prospects,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company and that may make it difficult for our stockholders to evaluate the success of our business to date and to assess our future viability.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clinical trials of our product candidates. We have never generated any revenue from drug sales. We have not obtained regulatory approvals for any of our current product candidates.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developments relating to macroeconomic conditions. We will need to transition from a company with a research and development focus to a company capable of supporting late-stage development and commercial activities. We may not be successful in such a transition.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To date, we have financed our operations primarily through the issuance and sale of our convertible preferred stock to outside investors, collaborators in private equity financings, upfront payments under our collaborations and sales of our common stock in our initial public offering, or IPO, and multiple public and private offerings of common stock and our at-the-market sales program. As of September 30, 2026, our cash and cash equivalents and marketable securities were $1,646 million. We have incurred net losses in each year since our inception, and we had an accumulated deficit of $1,328 million as of September 30, 2026. For the years ended December 31, 2025, 2024 and 2023, we reported net losses of $311.4 million, $223.9 million and $147.0 million, respectively. We reported net losses of $132.0 million and $262.4 million for the three and nine months ended September 30, 2026 respectively, and $82.2 million and $224.4 million for the three and nine months ended September 30, 2025,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We expect our expenses to significantly increase in connection with our ongoing activities, as we:</w:t>
      </w:r>
    </w:p>
    <w:p>
      <w:pPr>
        <w:spacing w:after="0" w:line="300"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U.S. Food and Drug Administration, or FDA, for future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3" w:name="page44"/>
    <w:bookmarkEnd w:id="43"/>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drug discovery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Future Financial Condition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pharmaceutical drugs is capital-intensive.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we exercise our opt-in rights with collaborators or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2026 we had approximately $1,646 million of cash and cash equivalents and marketable securities, which we expect will be sufficient to fund our operations into 2029. We have based this estimate on assumptions that may prove to be wrong, and we could use our capital resources sooner than we currently expect. This estimate also assumes that we do not obtain any additional funding through collaborations or other strategic alliances. Our future capital requirements will depend on, and could increase significantly as a result of, many factors, including:</w:t>
      </w:r>
    </w:p>
    <w:p>
      <w:pPr>
        <w:spacing w:after="0" w:line="72" w:lineRule="exact"/>
        <w:rPr>
          <w:sz w:val="20"/>
          <w:szCs w:val="20"/>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current or future product candidates, including additional expenses attributable to adjusting our development plans (including any supply related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existing or additional collaboration agreements we obtain;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current or future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our current or future product candidates.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We are subject to the reporting requirements of the Securities Exchange Act of 1934, as amended, or the Exchange Act, the Sarbanes-Oxley Act of 2002, as amended, or Sarbanes-Oxley Act, and the Dodd-Frank Wall Street Reform and Consumer Protection Act, or the Dodd-Frank Act. For example, the Exchange Act requires, among other things, that we file with the Securities and Exchange Commission, or the SEC, annual, quarterly and current reports with respect to our business and financial condition. These reporting requirements continue to evolve, which has created uncertainty for public companies like us and accommodating these evolving standards may require increased legal and financial compliance costs and make some activities more time-consuming and costly.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these requirements divert the attention of our management and personnel from other business concerns, they could have a material adverse effect on our business, financial condition and results of operations. It may be more difficult and more expensive for us to obtain director and officer liability insurance in the future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then, additional financial institutions have experienced similar failures and have been placed into receivership.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working capital sources and/or delays, inability or reductions in our ability to enter into new credit facilities or other working capital resources;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financial covenants in any credit agreements or credit arrangements;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cross-defaults in other credit agreements, credit arrangements or operating or financing agreements.</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Preclinical and Clinical Development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our STAT6 and IRF5 programs are in early clinical development with additional programs in preclinical development or early clinical development. If we or our collaborators are unable to advance our programs into and through the clinic for safety or efficacy reasons or commercialize our product candidates or experience significant delays in doing so, our business will be materially harmed.</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can advance and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75"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ongoing or planned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timing of IND clearances of current and future product candidates, and/or clinical trial costs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initiation, enrollment of and completion of clinical trials for current and future product candidates, including our ability to generate positive data from any such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completion of all safety studies required to obtain U.S. and foreign marketing approval for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we identify in-house or acquire through collaborations or other arrangements;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acceptance of our product candidates, if and when approved,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as well as the terms and timing of any additional collaboration, license or other arrangement, including the terms and timing of any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novel and unproven, which makes it difficult to predict the time, cost of development and likelihood of successfully developing any products.</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utilize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w:t>
      </w:r>
    </w:p>
    <w:p>
      <w:pPr>
        <w:spacing w:after="0" w:line="194"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As a result of these factors, it is more difficult for us to predict the time and cost of product candidate development, and we cannot predict whether the application of our expertise in TPD will result in the development and marketing approval of any products. Any development problems we experience in the future related to any of our research programs may cause significant delays or unanticipated costs or may prevent the development of a commercially viable product. Any of these factors may prevent us from completing our preclinical studies and clinical trials or commercializing any product candidates we may develop on a timely or profitable basis, if at all.</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apply our expertise in TPD,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focus on a limited number of research programs and product candidates. We are currently focused on our immunology portfolio, consisting of our STAT6, IRF5 and IRAK4 programs, which target key signaling pathways implicated in multiple inflammatory and autoimmune diseases, as well our CDK2 program in oncology. In some instances, we may decide to discontinue our investment in programs. For example, in May 2025 we made the strategic decision to not advance KT-295 (TYK2) into further clinical development. Additionally, in June 2025, we announced our partner Sanofi’s decisions to discontinue the development of KT-474 (IRAK4) in order to prioritize the development of a second generation IRAK4 degrader, KT-485. As a result, we or our collaborators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development of our lead programs. We cannot be certain that we will be able to obtain regulatory approval for, or successfully commercialize, any of our current or future product candidates.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currently have no product candidates approved for sale and may never be able to develop marketable product candidates. Our business depends heavily on the successful development, regulatory approval and commercialization of our current or future product candidates. The preclinical studies and clinical trials of our current or future product candidates are, and the manufacturing and marketing of our current or future product candidates will be, subject to extensive and rigorous review and regulation by numerous government authorities, including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For example, the preclinical and manufacturing data we submit to obtain authorization to proceed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into human clinical trials may not be accepted initially or at all by a government authority, which could result in a clinical hold on a product candidate. Clinical holds can delay clinical trial initiation and, even if successfully resolved, could occur at any time during clinical development as new data or information emerges. The drug development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w:t>
      </w:r>
    </w:p>
    <w:p>
      <w:pPr>
        <w:spacing w:after="0" w:line="19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current or future product candidates in the U.S. until we receive approval of a New Drug Application, or an NDA, from the FDA, in the European Union, or EU, until we receive approval of a marketing authorization application, or an MAA, from the European Commission,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75" w:lineRule="exact"/>
        <w:rPr>
          <w:sz w:val="20"/>
          <w:szCs w:val="20"/>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our current or future product candidates are safe and effective in treating their target indications to the satisfaction of the FDA or applicable foreign regulatory agency;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may not meet the level of statistical or clinical significance required by the FDA or applicable foreign regulatory agency for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the number, design, size, conduct or implementation of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require that we conduct additional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approve the formulation, labeling or specifications of any of our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find the data from preclinical studies and clinical trials insufficient to demonstrate that our current or future product candidates’ clinical and other benefits outweigh their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our interpretation of data from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accept data generated at our preclinical studies and clinical trial sites;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as a condition of approval or post-approval;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be delayed in its review processes due to staffing or other constraints;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initiation or enrollment of patients in clinical trials, our receipt of necessary regulatory approvals could be delayed or prevented.</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may be delays in trial initiation, including due to clinical holds or site activation delays,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or those trials conducted by our collaborators, may instead enroll in clinical trials of our competitors’ current or future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participants to enroll in our clinical trials in our countries of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screening test for the indications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potential pandemics that may limit subjects, principal investigators or staff or clinical site availability.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There can be no assurance that the final topline data from our trials will be consistent with such results or otherwise viewed as positive.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including data from our clinical trials,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Positive results from our preclinical studies of our current or future product candidates, and any positive results we may obtain from our early clinical trials of our current or future product candidates, including the preclinical results that supported IND clearance for KT-579, ongoing clinical trials of KT-621, KT-579 and KT-485, may not necessarily be predictive of the results from required later preclinical studies and clinical trials. Similarly, even if we are able to complete our planned preclinical studies or clinical trials of our current or future product candidates according to our current development timeline, the positive results from such preclinical studies and/or clinical trials of our current or future product candidates, including KT-621 and KT-579, may not be replicated in subsequent preclinical studies or clinical trials. In particular, while we have conducted certain preclinical studies of KT-621 and KT-579, we do not know whether any of these product candidates will perform in our planned clinical trials as it has performed in these prior preclinical studies. For example, in preclinical studies KT-621 demonstrated full inhibition of IL-4/IL-13 pathway in all relevant human cell contexts with picomolar potency that exceeded published data for dupilumab, and equivalent or superior activity to dupilumab. However, there is no guarantee these preclinical results will be replicated in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our planned or future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KT-621 for a broad set of immunology indications, with potential indications to include AD, asthma, COPD, CRSwNP, EoE, PN and others. We are developing KT-579 for immunology indications, with potential indications to include lupus, Sjögren's, IBD, RA and others.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may materially and adversely affect our business and our financial results and could cause a disruption to the development of our product candidates.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Infectious diseases may also affect research activities and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any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timely enrollment in clinical trials is dependent upon clinical trial sites which will be adversely affected by global health matters, such as pandemics. Some factors from any public health crisis that may delay or otherwise adversely affect enrollment in the clinical trials of our product candidates, as well as our business generally, include:</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effect on the operations of our third-party manufacturers and the supply chain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geopolitical landscape that may limit or restrict access to foreign clinical trial sites and/or foreign clinical trial data and documentation;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global shipping affecting the transport of clinical trial materials, such as patient samples, investigational drug product and conditioning drugs and other supplies used in our current and prospective clinical trials;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presently predict the scope and severity of additional planned and potential shutdowns or disruptions of businesses and government agencies, such as the SEC or FDA.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inflammatory 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7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current or future product candidates are distributed or administered, conduct additional clinical trials or change the labeling of the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current or future product candidates from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current or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Legislative and regulatory actions have been taken that have the potential to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On December 18, 2025, for example, the National Defense Authorization Act for Fiscal Year 2026 was enacted, which includes Section 851, commonly referred to as the “BIOSECURE Act.” The BIOSECURE Act restricts U.S. government agencies from procuring or obtaining certain biotechnology equipment or services from, or entering into, extending, or renewing any contracts, grants or loans with, entities that use biotechnology equipment or services from designated “biotechnology companies of concern,” and from expending certain federal loan or grant funds for such equipment or services. The BIOSECURE Act authorizes the U.S. government to identify and designate biotechnology companies of concern over time. While the BIOSECURE Act is primarily directed at U.S. government procurement and funding and has not yet been fully implemented through final regulations, there remains a continued policy interest in limiting U.S. companies’ relationships with biotechnology providers with relationships with foreign adversaries. The potential downstream adverse impacts of this law and similar future laws on entities having commercial relationships with any impacted biotechnology providers is unknown but may restrict the ability of the entities to work with biotechnology companies of concern and result in supply chain disruptions or delays. Though we do not currently receive U.S. government funding, we rely on third-party service providers and may have collaborators, investors, customers, or future commercial partners that receive U.S. government funding and could be subject to BIOSECURE Act-related restrictions. We regularly evaluate steps to mitigate any potential impact of any future expanded or modified legislation or regulatory or administrative actions towards foreign entities providing services to U.S. based companies. Depending on the terms of any final legislation or administrative actions that may be enacted, these steps could result in additional costs and potential delays in development timelines resulting from related transition efforts.</w:t>
      </w:r>
    </w:p>
    <w:p>
      <w:pPr>
        <w:spacing w:after="0" w:line="19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there have been, and may continue to be, significant changes to U.S. trade policies, sanctions, legislation, treaties, and tariffs, including, but not limited to, trade policies and tariffs affecting products from outside of the U.S. The extent and duration of increased tariffs and the resulting impact on general economic conditions and on our business are not known and depend on various factors, such as negotiations between the U.S. and affected countries, their respective responses, potential exemptions or exclusions, and availability and cost of alternative sources of supply. Supply chain disruptions and delays could also negatively impact our cost of materials and production processes. If we are unable to obtain these materials in sufficient quantity and in a timely manner, the development, testing, and our clinical trials for any future product candidates may be delayed or infeasible, and regulatory approval or commercial launch may be delayed or not obtained, which could significantly harm our business.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as our current or future product candidates progress through preclinical studies and clinical trials towards potential approval and commercialization, it is expected that various aspects of the manufacturing process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will be altered in an effort to optimize processes and results. Such changes may require amendments to be made to regulatory applications which may further delay the time frames under which modified manufacturing processes can be used for any of our current or future 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Regulatory Approval</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or future product candidates and the activities associated with their development and commercialization, including their design, testing, manufacture, safety, efficacy, record 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 future product candidates, we must obtain marketing approval from the regulatory authorities in the relevant jurisdictions. We have not received approval to market any of our current product candidates from regulatory authorities in any jurisdiction, and it is possible that none of our current product candidates, nor any product 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and often clinical sites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changes in leadership,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The U.S. Supreme Court’s decision in July 2024 to overturn established case law giving deference to regulatory agencies’ interpretations of ambiguous statutory language has introduced uncertainty regarding the extent to which FDA’s regulations, policies and decisions may become subject to increasing legal challenges, delays or changes. Our current or future product candidates could be delayed in receiving, or fail to receive, regulatory approval for many reasons, including the following:</w:t>
      </w:r>
    </w:p>
    <w:p>
      <w:pPr>
        <w:spacing w:after="0" w:line="8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current or future product candidates may not be sufficient to support the submission of an NDA or other submission or to obtain regulatory approval in the U.S.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is substantial uncertainty as to the extent and manner in which the current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 Even if we receive a designation for one or more of our product candidates, we may be unable to maintain the designation if FDA believes the conditions for the designation are no longer supported.</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In December 2025 we received Fast Track Designation for KT-621 for atopic dermatitis and in April 2026 we received Fast Track Designation for KT-621 for moderate to severe asthma. We may in the future pursue Fast Track Designation for additional uses or other candidates. Even if we receive Fast Track Designation for certain current or future product candidates, we may not experience a faster development process, review or approval compared to conventional FDA procedures. Additionally,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our collaborators may seek approval of KT-621, KT-579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or our collaborators may seek accelerated approval of KT-621, KT-579,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must specify the conditions for any post-approval trials by the date of accelerated approval and the agency has flexibility in setting forth such conditions, which may include enrollment targets, clinical trial protocol and milestones – including the target date of trial completion. The FDA is also permitted to require, as appropriate, that such trials be underway prior to approval or within a specific time period after the date of approval for 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spacing w:after="0" w:line="254" w:lineRule="auto"/>
        <w:rPr>
          <w:sz w:val="20"/>
          <w:szCs w:val="20"/>
          <w:color w:val="auto"/>
        </w:rPr>
      </w:pPr>
      <w:r>
        <w:rPr>
          <w:rFonts w:ascii="Times New Roman" w:cs="Times New Roman" w:eastAsia="Times New Roman" w:hAnsi="Times New Roman"/>
          <w:sz w:val="18"/>
          <w:szCs w:val="18"/>
          <w:color w:val="auto"/>
        </w:rPr>
        <w:t>product granted accelerated approval. Accelerated approval sponsors must submit progress reports every six months on required post-approval trials.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current or future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criteria for orphan designation in the EU are similar in principle to the U.S. For more information, please see the section of our Annual Report on Form 10-K, filed with the SEC on February 26, 2026, titled “Business - Government Regulation - Government Regulation of Drugs Outside of the United States” In the European Union, orphan designation entitles a party to financial incentives such as reduction of fees or fee waivers.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and approved use or indication for that time period, except in limited circumstances. The applicable period is seven years in the U.S. and ten years in the European Union.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approved use or indication. In addition, even after an orphan drug is approved, the FDA can subsequently approve the same drug for the same approved use or indication if the FDA concludes that the later drug is clinically superior in that it is shown to be safer, more effective or makes a major contribution to patient care.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If we or a regulatory agency discover problems with any of our future approved drugs, such as adverse events of unanticipated severity or frequency, or problems with the facility where such drug products are manufactured, a regulatory agency may impose restrictions on such drug products, the manufacturer or us, including requiring withdrawal of the product from the market or suspension of manufacturing. Additionally,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spacing w:after="0" w:line="255" w:lineRule="auto"/>
        <w:rPr>
          <w:sz w:val="20"/>
          <w:szCs w:val="20"/>
          <w:color w:val="auto"/>
        </w:rPr>
      </w:pPr>
      <w:r>
        <w:rPr>
          <w:rFonts w:ascii="Times New Roman" w:cs="Times New Roman" w:eastAsia="Times New Roman" w:hAnsi="Times New Roman"/>
          <w:sz w:val="18"/>
          <w:szCs w:val="18"/>
          <w:color w:val="auto"/>
        </w:rPr>
        <w:t>sponsors of approved drugs and biologics must provide 6 months’ notice to the FDA of any changes in marketing status, or for discontinuing or interrupting supply of certain drugs, including the withdrawal of a drug, and failure to do so could result in a letter citing such failure to comply and public posting of such letter and redacted company response which could damage our reputation.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8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or voluntary drug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FDA Form 483s,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drug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staffing and operations, could hinder their ability to hire and retain key leadership and other personnel, delay the review and approval of regulatory submissions, limit the development or implementation of regulatory programs,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the ability to accept the payment of user fees, and statutory, regulatory and policy changes. Average review times at the agency have fluctuated in recent years as a result and may continue to fluctuate as a result of these factors. In addition, government funding of the SEC and other government agencies on which our operations may rely, including those that fund research and development activities, is subject to the political process, which is inherently fluid and unpredictable. For example, the current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from federal government shutdowns like the one that occurred in October 2025, and the partial government shutdown that occurred in January and February 2026, substantial leadership departures, personnel cuts, and policy changes, may also slow the time necessary for new drugs to be reviewed and/or approved, which would harm our business. These changes have been reported as resulting in instances of delays in the FDA’s responsiveness or in its ability to review IND submissions or applications, issue regulations or guidance, or implement or enforce regulatory requirements in a timely fashion or at all.</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If a prolonged government shut down occurs again or if the FDA, NIH, SEC or the USPTO experiences significant decreases in funding or personnel, it could significantly impact the ability of the FDA to issue licenses needed for the conduct of our clinical trials, the NIH to conduct research or provide grants, and the abilities of the FDA and the USPTO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There is substantial uncertainty as to the extent and manner in which the current administration will seek to modify or revise the requirements and policies of the FDA and other regulatory agencies with jurisdiction over our product candidates and any products for which we obtain approval. Additionally, the current administration could also issue or promulgate executive orders, regulations, policies or guidance that adversely affect us or create a more challenging or costly environment to pursue the development of new therapeutic candidates or delay the review or effectiveness of required regulatory or securities filings. Also, state governments may seek to address or react to changes at the federal level with changes to their regulatory frameworks in a manner that could impact our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Foreign Regulatory Approval and Foreign Markets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our current or future product candidates outside of the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79" w:lineRule="exact"/>
        <w:rPr>
          <w:sz w:val="20"/>
          <w:szCs w:val="20"/>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such that obtaining regulatory approvals outside of the U.S. may take longer and be more costly than obtaining approval in the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current or future product candidates in foreign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U.S. trade policies, sanctions, legislation, treaties, and tariffs;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Foreign sales of our current or future product candidates could also be adversely affected by the imposition of governmental controls, political and economic instability, trade restrictions and changes in tariffs (including tariffs that have been or may in the future be imposed by the United States or other countries).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conduct clinical trials for current or future product candidates outside the U.S., and the FDA and comparable foreign regulatory authorities may not accept data from such trials.</w:t>
      </w:r>
    </w:p>
    <w:p>
      <w:pPr>
        <w:spacing w:after="0" w:line="267"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are conducting and may in the future choose to conduct one or more clinical trials outside the U.S., including in Europe, Asia and other geographies.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If access to clinical trial sites or documentation is delayed or restricted, including for geopolitical reasons, the FDA may not accept such data in support of an IND or marketing application which would adversely affect our development and approval plans.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and FDA has discussed proposals to increase user fees for marketing applications containing certain foreign clinical data. In addition, the FDA recently signaled increased scrutiny of foreign clinical trial data submitted in support of marketing applications, indicating plans for increased foreign site inspections and increased transparency of inspection results. If the FDA or any comparable foreign regulatory authority does not accept such data, it would result in the need for additional trials, which could be costly and time-consuming, and which may result in the failure to receive approval for commercialization for the current or future product candidates that we may develop in the applicable jurisdiction or in the delay or halt in development of such candidates.</w:t>
      </w:r>
    </w:p>
    <w:p>
      <w:pPr>
        <w:spacing w:after="0" w:line="2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including the Foreign Corrupt Practices Act (FCPA),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Anti-corruption and anti-bribery laws have been enforced aggressively in recent years and are interpreted broadly. Violations of Trade Laws can result in substantial criminal fines and civil penalties, imprisonment, the loss of trade privileges, debarment, tax reassessments, breach of contract and fraud litigation, reputational harm, and other consequences. As we increase our activities outside the United States, which may include increased interactions with officials and employees of government agencies or state-owned or -affiliated entities,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 We have direct or indirect interactions with officials and employees of government agencies or government-affiliated hospitals, universities, and other organizations.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FCPA and similar laws and regulations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Anti-corruption and anti-bribery laws and regulations have been enforced aggressively in recent years and are interpreted broadly. The FCPA also requires public companies to make and keep books and records that accurately and fairly reflect the transactions of the corporation and to devise and maintain an adequate system of internal accounting controls. Though we may implement policies and procedures reasonably designed to promote compliance with the FCPA and other anti-corruption laws, there is no assurance that we will be completely effective in ensuring our compliance with all applicable anti-corruption laws, including the FCPA or other legal requirements. We can be held liable for the corrupt or other illegal activities of our employees, agents, CROs,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damages, and legal expenses, reputational harm, and other consequences, which could have an adverse impact on our business, results of operations, financial condition or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products such as our product candidates, with an emphasis on private payors for access to commercial products. If reimbursement of our product candidates is unavailable or limited in scope or amount, or if pricing is set at unsatisfactory levels, our business could be materially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Compliance with Healthcare and Other Regulations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For more information, please see the section of our Annual Report on Form 10-K, filed with the SEC on February 26, 2026, entitled, “Business - Government Regulation - Other Healthcare Laws” and the section of our Annual Report entitled, “Business - Government Regulation - Current and Future Healthcare Reform Legislation”.</w:t>
      </w:r>
    </w:p>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w:t>
      </w:r>
    </w:p>
    <w:p>
      <w:pPr>
        <w:spacing w:after="0" w:line="4" w:lineRule="exact"/>
        <w:rPr>
          <w:sz w:val="20"/>
          <w:szCs w:val="20"/>
          <w:color w:val="auto"/>
        </w:rPr>
      </w:pPr>
    </w:p>
    <w:p>
      <w:pPr>
        <w:jc w:val="both"/>
        <w:ind w:firstLine="74"/>
        <w:spacing w:after="0" w:line="255" w:lineRule="auto"/>
        <w:rPr>
          <w:sz w:val="20"/>
          <w:szCs w:val="20"/>
          <w:color w:val="auto"/>
        </w:rPr>
      </w:pPr>
      <w:r>
        <w:rPr>
          <w:rFonts w:ascii="Times New Roman" w:cs="Times New Roman" w:eastAsia="Times New Roman" w:hAnsi="Times New Roman"/>
          <w:sz w:val="18"/>
          <w:szCs w:val="18"/>
          <w:color w:val="auto"/>
        </w:rPr>
        <w:t>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legislative reform measures may have a material adverse effect on our business and results of operations.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For more information, please see the section of our Annual Report on Form 10-K, filed with the SEC on February 26, 2026, entitled, “Business - Government Regulation - Current &amp; Future Healthcare Reform Legislation.”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For more information, please see the section of our Annual Report on Form 10-K, filed with the SEC on February 26, 2026, entitled “Business - Government Regulation - Other Regulatory Matters - Other Healthcare Laws.”</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and the Bribery Act 2010 in the U.K..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laws.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current or future product candidates by the FDA or other applicable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current or future product candidates over current treatment options or alternative treatments, including future alternative treatments;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or treatment methods and of physicians to prescribe these therapies or methods;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dose such product candidates in combination with other therapeutic agents, and 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Companies developing small molecule protein degraders therapies for patients, include, but are not limited to, Arvinas, Inc., C4 Therapeutics, Inc., Nurix Therapeutics, Inc., and Foghorn Therapeutics, Inc. Further, several large pharmaceutical companies have disclosed preclinical investments in this field. In particular, several pharmaceutical companies have announced partnerships around programs targeting STAT6, including Sanofi, Johnson &amp; Johnson and Gilead.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STAT6, IRF5, and CDK2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current or future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current or future product candidates that we may develop.</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we will need to increase our insurance coverage when we begin later stage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or our third-party collaborators' efforts to commercialize our current or future product candidates on our own include:</w:t>
      </w:r>
    </w:p>
    <w:p>
      <w:pPr>
        <w:spacing w:after="0" w:line="11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sales personnel to obtain access to physicians or persuade adequate numbers of physicians to prescribe any future drugs;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medical institutions, CROs, contract laboratories, contract manufacturing organizations and strategic partners to help conduct or otherwise support our preclinical studies and clinical trials for our current product candidates, and we expect to rely on such third parties for our future product candidates. We do not have the ability to independently conduct clinical trials. We rely heavily on external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or clinical trials, we could be subject to untitled and warning letters or enforcement action that may include civil penalties up to and including criminal prosecution.</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7" w:name="page68"/>
    <w:bookmarkEnd w:id="67"/>
    <w:p>
      <w:pPr>
        <w:jc w:val="both"/>
        <w:spacing w:after="0" w:line="253" w:lineRule="auto"/>
        <w:rPr>
          <w:sz w:val="20"/>
          <w:szCs w:val="20"/>
          <w:color w:val="auto"/>
        </w:rPr>
      </w:pPr>
      <w:r>
        <w:rPr>
          <w:rFonts w:ascii="Times New Roman" w:cs="Times New Roman" w:eastAsia="Times New Roman" w:hAnsi="Times New Roman"/>
          <w:sz w:val="18"/>
          <w:szCs w:val="18"/>
          <w:color w:val="auto"/>
        </w:rPr>
        <w:t>protected. These regulations are enforced by the FDA, the Competent Authorities of the Member States of the European Economic Area and comparable foreign regulatory authorities for any drugs in clinical development. The FDA enforces GCP requirements through 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public notifications of noncompliance, civil monetary penalties, adverse publicity and can also prevent the non-compliant party from receiving future grant funds from the federal government.</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designed the Phase 1 and 2 trials of KT-621 and Phase 1 trial of KT-579,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and timing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fail to comply with regulatory requirements, or if they need to be replaced, any clinical trials such CROs are associated with may be extended, delayed or terminated,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 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product, and starting materials used in our product candidates are limited in number, and the loss of any of these suppliers could significantly harm our business.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drug substance and drug product in our product candidates are supplied to us from a small number of suppliers, and in some cases sole source suppliers. We rely on and expect to continue to rely on our suppliers to develop our current or future product candidates, and to ultimately supply our commercial drugs in quantities sufficient to meet the market demand. We do not currently have arrangements in place for a second-source supply of all drug product or drug substance.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Regional or single-source dependencies may in some cases accentuate these risks. For example, the pharmaceutical industry generally and in some instances we or our collaborators or other third parties on which we rely on depend on China-based suppliers or services providers for certain raw materials, products and services and other activities. Our ability or the ability of our collaborators or such other third parties to continue to engage these China-based suppliers or service providers for certain preclinical research programs and clinical development programs could be restricted due to developments between the United States and China, including as a result of the escalation of tariffs or other trade restrictions.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BIOSECURE Act-related restrictions, and any future legislative, regulatory, or administrative actions expanding or modifying these restrictions, could negatively impact U.S. companies and institutions that accept U.S. funding for projects that utilize biotechnology equipment or services produced or provided by certain biotechnology providers having relationships with foreign adversaries. The potential downstream adverse impacts on entities having only commercial relationships with any impacted biotechnology providers is unknown but may restrict the ability of the entities to work with biotechnology companies of concern and result in supply chain disruptions or delays. Though we do not currently receive U.S. government funding, BIOSECURE Act-related restrictions could indirectly affect our collaborators, customers, investors, or suppliers that receive U.S. government funding, and we are currently evaluating steps to mitigate any potential impact of any future expanded or modified legislation or regulatory or administrative actions applicable to foreign entities providing services to U.S. based companies. Depending on the terms of the final BIOSECURE Act, its implementing regulations, or any related future actions, these steps could result in additional costs and potential delays in development timelines resulting from related transition efforts. For all of our current or future product candidates, we intend to identify and qualify additional manufacturers to provide such API, drug product and drug substance prior to submission of an NDA to the FDA and/or an MAA to the EMA. We are not certain, however, that our single-source and dual source suppliers will be able to meet our demand for their products. It may be difficult for us to assess their ability to timely meet our demand in the future based on past performance.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depend on collaborations with other third parties for the development and commercialization of our product candidates in the future. If our collaborations are not successful, we may not be able to capitalize on the market potential of these product candidates.</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a collaboration and licensing arrangement with Sanofi with respect to our IRAK4 program and Gilead with respect to our CDK2 program and we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firstLine="509"/>
        <w:spacing w:after="0" w:line="282" w:lineRule="auto"/>
        <w:rPr>
          <w:sz w:val="20"/>
          <w:szCs w:val="20"/>
          <w:color w:val="auto"/>
        </w:rPr>
      </w:pPr>
      <w:r>
        <w:rPr>
          <w:rFonts w:ascii="Times New Roman" w:cs="Times New Roman" w:eastAsia="Times New Roman" w:hAnsi="Times New Roman"/>
          <w:sz w:val="18"/>
          <w:szCs w:val="18"/>
          <w:color w:val="auto"/>
        </w:rPr>
        <w:t>Further, collaborations involving our technologies or current or future product candidates are subject to numerous risks, which may include the following:</w:t>
      </w:r>
    </w:p>
    <w:p>
      <w:pPr>
        <w:spacing w:after="0" w:line="5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pay milestones and royalties due to us in a timely manner.</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89"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color w:val="auto"/>
        </w:rPr>
        <w:t>For example, we granted our collaboration partner Gilead an exclusive option for an exclusive license with respect to our CDK2 program and Gilead exercised that option in April 2026. Future payments under our licensing arrangement with Gilead are contingent upon Gilead’s sole execution of the CDK2 program. In addition, Sanofi has significant discretion in determining the efforts and resources that it will apply to advance clinical trials of KT-</w:t>
      </w:r>
    </w:p>
    <w:p>
      <w:pPr>
        <w:spacing w:after="0" w:line="1" w:lineRule="exact"/>
        <w:rPr>
          <w:sz w:val="20"/>
          <w:szCs w:val="20"/>
          <w:color w:val="auto"/>
        </w:rPr>
      </w:pPr>
    </w:p>
    <w:p>
      <w:pPr>
        <w:ind w:right="100" w:firstLine="8"/>
        <w:spacing w:after="0" w:line="255" w:lineRule="auto"/>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factors noted above, we may not be able to realize the benefit of our existing collaboration and licensing arrangements or any future strategic partnerships or acquisitions, collaborations or license arrangements we may enter into, which could delay our timelines or otherwise adversely affect our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FDA Form 483s,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or other intellectual property protection in the U.S. and other countries for our current or future product candidates and our core technologies, including our proprietary TPD expertise, and our STAT6, IRAK4, IRF5, and CDK2 programs, which are our most advanced development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own patent applications and patents related to our TPD technology and our novel bifunctional degrader compounds, including claims to compositions of matter, pharmaceutical compositions, methods of use, methods of treatment, and other related methods.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our TPD expertise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patent term adjustments,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the Unified Patent Court, or UPC, or in other countries or jurisdictions. In addition, we may be subject to 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 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our TPD expertise, or other technologies in all countries. Filing, prosecuting and defending patents on current or future product candidates, our TPD expertise,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in-licensed from Sanofi and other collaborators. Our commercial success depends upon our ability to develop, manufacture, market and sell our current or future product candidates and use our and our licensors’ proprietary technologies without infringing the proprietary rights of third parties.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 rights and could harm our ability to commercialize our current or future product candidates, or leverage our TPD expertise,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current or future licensors regarding intellectual property subject to a license agreement, including:</w:t>
      </w:r>
    </w:p>
    <w:p>
      <w:pPr>
        <w:spacing w:after="0" w:line="117"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auto"/>
        </w:rPr>
        <w:t>Risks Related to Patent Protection</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auto"/>
        </w:rPr>
        <w:t>Risks Related to Our Trademarks, Trade Names and Trade Secrets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or impediments to building our product brand recognition.</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during the trademark registration process, we may receive Office Actions from the USPTO or from comparable agencies in foreign jurisdictions refusing registration of our trademarks.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 and KYMERA THERAPEUTICS are now registered or allowed in the United States and have proceeded to registration in the European Union.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auto"/>
        </w:rPr>
        <w:t>Risks Related to Intellectual Property Litigation and Infringement Claims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any intellectual property we may own or in-license, including our patents and trademarks. In addition, any intellectual property we may own or in-license also may become the subject of a dispute, including those based on inventorship, 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In August 2021, we initiated a US patent office 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8" w:name="page79"/>
    <w:bookmarkEnd w:id="78"/>
    <w:p>
      <w:pPr>
        <w:jc w:val="both"/>
        <w:spacing w:after="0" w:line="254" w:lineRule="auto"/>
        <w:rPr>
          <w:sz w:val="20"/>
          <w:szCs w:val="20"/>
          <w:color w:val="auto"/>
        </w:rPr>
      </w:pPr>
      <w:r>
        <w:rPr>
          <w:rFonts w:ascii="Times New Roman" w:cs="Times New Roman" w:eastAsia="Times New Roman" w:hAnsi="Times New Roman"/>
          <w:sz w:val="18"/>
          <w:szCs w:val="18"/>
          <w:color w:val="auto"/>
        </w:rPr>
        <w:t>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our TPD expertise,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our TPD expertise, or other technologies, are rightfully owned by their former or concurrent employer. Litigation may be necessary to defend against these claims.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jc w:val="both"/>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or future product candidates, or from using our proprietary technologies, including our TPD expertise, unless the third-party licenses its product rights to us, which it is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TPD expertise may be impaired or delayed, which could in turn significantly harm our business. Even if we obtain a license, it may be nonexclusive, thereby giving our competitors access to the same technologies licensed to us.</w:t>
      </w:r>
    </w:p>
    <w:p>
      <w:pPr>
        <w:spacing w:after="0" w:line="20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reasonable terms, if at all. In that event, we would be unable to further develop and commercialize our current or future product candidates or technologies, which could harm our business significantly.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Employee Matters and Managing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Nello Mainolfi, Ph.D., our President and Chief Executive Officer, Terence Rooney, M.D., our Chief Medical Officer, Bruce Jacobs, our Chief Financial Officer, Brian Adams, our Chief Legal Officer and Noah Goodman, our Chief Business Officer,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ability to attract new personnel may be impacted by restrictions on travel, changes to immigration policy or the availability of work visas under the current administration. If we are unable to continue to attract and retain high quality personnel, our ability to pursue our growth strategy will be limited.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develop and expand our company, and we may encounter difficulties in managing this development and expansion, which could disrupt our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2026, we had 285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management’s time and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unforeseen global events,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Unforeseen global events, such as macroeconomic conditions, outbreaks of violence, or geopolitical instability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auto"/>
        </w:rPr>
        <w:t>Risks Related to Data and Privacy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current or future product candidates’ development programs.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security incidents, or compromises, which could result in the disclosure of confidential or proprietary information, including personal data, damage our reputation, and subject us to significant financial and legal exposure.</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security incident, or compromise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employee error or malfeasance, industrial espionage, wire fraud and other forms of cyber fraud, the deployment of harmful malware, denial-of-service, social engineering (including successful phishing attacks) or other means to threaten data security, confidentiality, integrity and availability. These attacks and activity are also being facilitated or enhanced by evolving technologies, including artificial intelligence.</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incidents or breaches that would result in business, legal, financial or reputational harm to us, or would have a material adverse effect on our results of operations and financial condition. Attempts to disrupt or gain unauthorized access to our and our third-party vendors’ information systems from malicious third parties or insider threats may incorporate widely varying and frequently changing tactics, which may be enhanced or facilitated by artificial intelligence. Any failure to prevent or mitigate security breaches or improper access to, use of, or disclosure of our clinical data or patients’ personal data could result in significant liability under state (e.g., state breach notification laws), federal (e.g., Health Insurance Portability and Accountability Act of 1996, or HIPAA, as amended by Health Information Technology for Economic and Clinical Health Act), and international law (e.g., the EU General Data Protection Regulation, or EU GDPR) and may cause a material adverse impact to our reputation, affect our ability to use collected data, conduct new studies and potentially disrupt our business.</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Like other companies in our industry, we and our service providers have experienced and may in the future experience cyberattacks and other attempts to disrupt or gain unauthorized access to our and our third-party vendors’ information systems. 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incidents, data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Our contracts may not contain limitations of liability, and even where they do, there can be no assurance that limitations of liability in our contracts are sufficient to protect us from liabilities, damages, or claims related to our privacy and data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security obligations. Further, although we maintain cyber liability insurance, this insurance may not provide adequate coverage against potential liabilities related to any experienced security incident or data breach.</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may be subject to a variety of privacy and data protection laws, regulations and contractual obligations, which may require us to incur substantial compliance costs, and any failure or perceived failure by us to comply with them could expose us to fines or other penalties and otherwise harm our business and operations.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be subject to data privacy and protection laws and regulations that apply to the collection, transmission, storage and use of sensitive information and personally-identifying information, which among other things, imposes certain requirements relating to the privacy, security and transmission of certain individually identifiable information. In addition, numerous other federal and state laws, including state security breach notification laws, state health information privacy laws and federal and state consumer protection laws, govern the collection, use, disclosure and security of personal information. These laws continue to change and evolve and are increasing in breadth and impact.</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example, with respect to the collection and processing of personal data relating to the EU, European Economic Area, or the EEA, and United Kingdom, or the UK, we are subject to the EU GDPR, the UK General Data Protection Regulation, or the UK GDPR, as well as applicable data protection laws in effect in the Member States of the EEA and in the UK (including the UK Data Protection Act 2018) which govern the processing of personal data in connection with (a) the offering of goods or services to/the monitoring of the behavior of individuals in the UK and EEA; or (b) the activities of our establishments in the UK and any EEA Member State. The UK’s data protection regime is independent from but aligned to the EU’s data protection regime. In this Form 10-Q, “GDPR” refers to both the EU GDPR and the UK GDPR, unless specified otherwise. The GDPR is wide-ranging in scope and imposes numerous requirements on companies that process personal data,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limiting retention periods for personal data, creating mandatory data breach notification requirements in certain circumstances, and requiring that certain measures (including contractual requirements) are put in place when engaging third-party service providers.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to countries outside of the UK and EEA that do not ensure an adequate level of protection, including the United States in certain circumstances, unless derogation exists or a valid GDPR transfer mechanism (for example, the European Commission approved Standard Contractual Clauses and the UK International Data Transfer Agreement or Addendum) have been put in place, and transfer impact assessments conducted. The EU and U.S. have adopted its adequacy decision for the EU-U.S. Data Privacy Framework, or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Any inability to transfer personal data from the UK or EEA to the United States in compliance with data protection laws may impede our operations and may adversely affect our business and financial position.</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UK’s data protection regime is independent from but aligned to the EU’s data protection regime. Although the UK is regarded as a third country under the EU’s GDPR, the European Commission has now issued an adequacy decision recognizing the UK as providing adequate protection under the EU GDPR and, therefore, transfers of personal data originating in the EEA to the UK remain unrestricted. In December 2025, the European Commission adopted a decision to extend the validity of the UK adequacy decision for six years until December 2031, determining that the UK continues to offer a level of data protection that is “essentially equivalent” to the EU standards. This follows the UK’s adoption of the Data (Use and Access) Act 2025 on 19 June 2025. Like the EU GDPR, the UK GDPR restricts personal data transfers outside the UK to countries not regarded by the UK as providing adequate protection. The UK Government has confirmed that personal data transfers from the UK to the EEA remain free flowing.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Failure to comply with the requirements of the GDPR and the related national data protection laws of the EEA Member States and the UK may result in fines up to €20 million (17.5 million for the UK GDPR) or 4% of a company’s global annual revenues for the preceding financial year, whichever is higher. The GDPR also confers a private right of action on data subjects and consumer associations to lodge complaints with supervisory authorities, seek judicial remedies, and obtain compensation for damages resulting from violations of the GDPR. Complying with these European data protection laws may impose significant costs or otherwise require us to divert resources or implement changes to our business processes, and any actual or perceived non-compliance could result in significant penalties, claims and reputational damage.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several layers of federal and state data protection laws and regulations may apply to our business, including HIPAA, the Federal Trade Commission (FTC) Act and state consumer privacy and health data privacy laws. For example, the California Consumer Privacy Act (CCPA) is a comprehensive privacy law that creates individual privacy rights and increased privacy and security obligations on businesses handling the personal data of California residents. The CCPA requires covered businesses to provide certain disclosures to consumers about data collection, use and sharing practices, to allow California residents to opt out of certain sales and disclosures of personal information, and to opt out of certain uses of sensitive personal information, including health information. The law also created a regulatory agency in California, and that agency’s finalized and proposed regulations are continuing to change the standard of privacy protection we may be required to meet. Numerous other states have passed similar consumer privacy laws that are or will be implemented and enforced by various state regulators. Like the CCPA, these laws grant consumers rights in relation to their personal information and impose new obligations on regulated businesses, including, in some instances, broader data security requirements. These laws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more than a dozen states will make our compliance obligations more complex and costly and may increase the likelihood that we may be subject to enforcement actions or otherwise incur liability for noncompliance.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States are also putting in place laws that apply additional protections specifically to health information. For example, Washington’s My Health My Data Act, which went into effect in March 2024, requires regulated entities to obtain consent to collect health information, grants consumers certain rights, including to request deletion, and provides for robust enforcement mechanisms, including enforcement by the state attorney-general and by litigants through a private right of action for consumer claims. Connecticut and Nevada have also passed similar laws regulating consumer health data. In addition, other states have proposed or passed legislation that regulates the privacy and security of certain specific types of information. For example, a small number of states have passed laws that regulate biometric data specifically.</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federal regulators are imposing new and heightened protections for health and other sensitive information that could impact our business. For example, the FTC has imposed stringent requirements on the collection and disclosure of sensitive categories of personal information, including health information, and has expanded the application of its Health Breach Notification Rule. Further, through executive and legislative action, the federal government restricts data transactions involving certain sensitive data categories – including health data, genetic data, and biospecimens. For examples, the U.S. Department of Justice issued a rule referred to as the “Data Security Program”, or the DSP, to implement Executive Order 14117 aimed at preventing access to “bulk U.S. sensitive personal data” and “government-related data” by “countries of concern” (China (including Hong Kong and Macau), Russia, Iran, North Korea, Cuba, and Venezuela) and “covered persons” (as defined in the DSP). Effective as of April 8, 2025, the DSP prohibits or restricts certain transactions that involve access by countries of concern or covered persons access to bulk U.S. sensitive personal data including personal health data, genomic and other economic data and certain biospecimens, or government-related data. The rule does not exempt key-coded or otherwise anonymized, pseudonymized, de-identified or encrypted data. Compliance with the DSP may require us to invest heavily in data security and compliance measures, including burdensome recordkeeping, reporting, and auditing requirements. It may also require us to implement new processes, stop or restrict certain data transfers, or cease relationships with certain third parties or using certain tools or vendors, any of which could materially impact our business operations or hinder our ability to grow our business. Actual or alleged violations of these laws and regulations may be punishable by criminal and/or civil sanctions, result in exclusion from participation in federal and state programs or restrict our ability to use certain vendors, sites, investigators, or service providers in global clinical trials.</w:t>
      </w:r>
    </w:p>
    <w:p>
      <w:pPr>
        <w:spacing w:after="0" w:line="19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current and future data privacy laws and regulations may require us to modify our data collection or processing practices and policies, incur substantial costs and expenses in an effort to comply and increase our potential exposure to regulatory enforcement, reputational damage, and/or litigation.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Issues relating to the use of artificial intelligence and machine learning could adversely affect our business and operating results.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our ongoing efforts to innovate and develop product candidates, we have integrated artificial intelligence (AI) and machine learning into virtual screening, hit validation and optimization technologies. While AI and machine learning present opportunities for enhanced productivity and innovation, they also introduce cybersecurity, data privacy, IT, intellectual property, regulatory, legal, operational, competitive, reputational and other risks that could adversely impact our business and reputation. Specifically, risks related to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our products and services to help ensure that AI is implemented in accordance with applicable laws and regulations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 The use of certain AI technology can give rise to intellectual property risks, including compromises to proprietary intellectual property and intellectual property infringement.</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evolving regulatory landscape surrounding AI also poses a risk, as new laws and regulations could impose additional compliance burdens, resulting in increased operational costs to comply with U.S. and non-U.S. laws concerning the use of AI. We expect to see increasing regulation related to AI use and ethics, which may also significantly increase the burden and cost of research, development and compliance in this area. For example, the EU’s Artificial Intelligence Act, or the AI Act, entered into force on August 1, 2024. Certain provisions have already become applicable, including the prohibitions on certain AI practices and obligations relating to general-purpose AI models. Most remaining provisions apply from 2 August 2026, although the application of certain rules for high-risk AI systems has been deferred until 2 December 2027 (or, for certain product-embedded AI systems, 2 August 2028). The AI Act, as recently amended by the EU’s Digital Omnibus on AI, imposes significant obligations on providers and deployers of high-risk AI systems and general purpose AI models and encourages providers and deployers to account for EU ethical principles when developing and using AI technology.</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Likewise, in the United States, the regulatory environment is complex and uncertain. Over the past couple of years, states have advanced, and in some cases passed, dozens of laws focusing on AI governance and regulation, including on deployment of AI in healthcare settings. At the federal level, the current administration has endorsed a federal moratorium on the enforcement of state AI laws, though so far, these efforts have not been successful at curtailing state action on AI regulation. This has resulted in a complicated legislative patchwork, which may be litigated in state and federal courts. Various federal and state regulators have also issued guidance and focused enforcement efforts on the use of AI in regulated sectors, such as healthcare. The U.S. Food and Drug Administration, for example, issued guidance on the use of AI in regulatory decision-making for drug and biological products that centers on the context of use while establishing a credibility assessment framework for establishing and evaluating AI model outputs intended to support regulatory decision-making. If we develop or use AI systems that are governed by these laws or regulations, including as informed by regulatory guidance, we will need to meet higher standards of data quality, transparency, and human oversight, as well as adhering to specific and potentially burdensome and costly ethical, accountability, and administrative requirements. We may also be subject to significant enforcement or litigation in the event of any perceived non-compliance.</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committed to implementing governance and control mechanisms to mitigate these risks, but there can be no assurance that such measures will adequately prevent or mitigate the adverse effects that the integration and use of AI may have on our business, financial condition, and results of operations. 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fluctuate substantially, and investors may lose all or part of their investment.</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conflicts in various regions of the world, increasing inflation rates, and interest rate changes, which have resulted in decreased stock prices for many companies notwithstanding the lack of a fundamental change in their underlying business models or prospects. As a result of this volatility, you may lose all or part of your investment. The market price for our common stock may be influenced by many factors, including:</w:t>
      </w:r>
    </w:p>
    <w:p>
      <w:pPr>
        <w:spacing w:after="0" w:line="79"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current or future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current or future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current or future product candidates or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collaboration agreements, including announcements regarding our collaboration agreements with Sanofi and Gilead;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00" w:lineRule="exact"/>
        <w:rPr>
          <w:sz w:val="20"/>
          <w:szCs w:val="20"/>
          <w:color w:val="auto"/>
        </w:rPr>
      </w:pPr>
    </w:p>
    <w:p>
      <w:pPr>
        <w:spacing w:after="0" w:line="24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 on the market price of our common stock. The price of our common stock may be disproportionately affected as investors may favor traditional profit-making industries and companies during the times of market uncertainty and instability.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global economic and geopolitical conditions may have serious adverse consequences on our business, financial condition, stock price and results of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potential for significant changes in U.S. policies or regulatory environment given the current administration, military conflict, including the ongoing conflicts between the U.S. and the Middle East, Russia and Ukraine, and in the Middle East, terrorism, or other geopolitical events. Sanctions imposed by the United States and other countries in response to such conflicts, including in the Middle East and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7" w:name="page88"/>
    <w:bookmarkEnd w:id="87"/>
    <w:p>
      <w:pPr>
        <w:jc w:val="both"/>
        <w:spacing w:after="0" w:line="258" w:lineRule="auto"/>
        <w:rPr>
          <w:sz w:val="20"/>
          <w:szCs w:val="20"/>
          <w:color w:val="auto"/>
        </w:rPr>
      </w:pPr>
      <w:r>
        <w:rPr>
          <w:rFonts w:ascii="Times New Roman" w:cs="Times New Roman" w:eastAsia="Times New Roman" w:hAnsi="Times New Roman"/>
          <w:sz w:val="18"/>
          <w:szCs w:val="18"/>
          <w:color w:val="auto"/>
        </w:rPr>
        <w:t>of the stock market and the general economic downturn. 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Changes in U.S. federal policy that affect the geopolitical landscape could give rise to circumstances outside our control that could have negative impacts on our business operations. For example, in 2025, the U.S. imposed substantial tariffs on imports from its trading partners, including, without limitation, Canada, Mexico, the EU and China. In response to tariffs, other countries have implemented retaliatory tariffs on U.S. goods. While certain tariffs were subsequently suspended, modified, or temporarily reduced, we cannot predict the results of the U.S. government's trade negotiations or the outcome of ongoing legal challenges to specific tariff policies. The impact of tariffs has already been seen, and we expect will continue to be seen, in global markets. In addition, the current U.S. administration has expressed an intent to impose tariffs on pharmaceutical imports, with the stated policy objective of reshoring pharmaceutical manufacturing to the United States. Among other means, such tariffs may be imposed by the United States under Section 232 of the Trade Expansion Act of 1962, as amended, pursuant to which the U.S. Department of Commerce recently initiated an investigation to determine the effects of importing pharmaceuticals and pharmaceutical ingredients on national security. The current U.S. administration has threatened to continue to broadly impose tariffs, which could lead to corresponding punitive actions by the countries with which the U.S. trades.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We are continuing to monitor global capital markets and assessing the potential impact of these factors on our business.</w:t>
      </w:r>
    </w:p>
    <w:p>
      <w:pPr>
        <w:spacing w:after="0" w:line="19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global economy and financial markets have experienced volatility and disruptions, including diminished liquidity and credit availability, declines in consumer confidence, actual or perceived changes in interest rates, inflation, declines in economic growth, global supply chain disruptions, increases in unemployment rates, and uncertainty about economic stability.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w:t>
      </w:r>
    </w:p>
    <w:p>
      <w:pPr>
        <w:spacing w:after="0" w:line="183" w:lineRule="exact"/>
        <w:rPr>
          <w:sz w:val="20"/>
          <w:szCs w:val="20"/>
          <w:color w:val="auto"/>
        </w:rPr>
      </w:pPr>
    </w:p>
    <w:p>
      <w:pPr>
        <w:jc w:val="both"/>
        <w:ind w:firstLine="587"/>
        <w:spacing w:after="0" w:line="253" w:lineRule="auto"/>
        <w:rPr>
          <w:sz w:val="20"/>
          <w:szCs w:val="20"/>
          <w:color w:val="auto"/>
        </w:rPr>
      </w:pPr>
      <w:r>
        <w:rPr>
          <w:rFonts w:ascii="Times New Roman" w:cs="Times New Roman" w:eastAsia="Times New Roman" w:hAnsi="Times New Roman"/>
          <w:sz w:val="18"/>
          <w:szCs w:val="18"/>
          <w:color w:val="auto"/>
        </w:rPr>
        <w:t>Additionally, severe or prolonged economic downturn or additional global financial crises could result in a variety of risks to our business, including weakened demand for any product candidates we develop or our ability to raise additional capital when needed on acceptable terms, if at all. For example, on October 1, 2025, the U.S. federal government shutdown through November 12, 2025, suspending services deemed non-essential as a result of the failure by Congress to enact regular appropriations for the 2026 fiscal year. If we experience another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 There can be no assurance that further deterioration in global economy and financial markets and confidence in economic conditions will not occur. A severe or prolonged economic downturn could result in a variety of risks to our business, including a decrease in the demand for our product candidates and in our ability to enter into agreements on acceptable terms.</w:t>
      </w:r>
    </w:p>
    <w:p>
      <w:pPr>
        <w:spacing w:after="0" w:line="200" w:lineRule="exact"/>
        <w:rPr>
          <w:sz w:val="20"/>
          <w:szCs w:val="20"/>
          <w:color w:val="auto"/>
        </w:rPr>
      </w:pP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2026, the existing holdings of our executive officers, directors, principal stockholders and their affiliates represent beneficial ownership, in the aggregate, of approximately 20%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 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 The concentration of voting power among these stockholders may also have an adverse effect on the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a substantial number of warrants and equity awards from our equity plans which are exercisable into shares of our common stock which could result in substantial dilution to the ownership interests of our existing stockholders.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2026, approximately 15,815,253 shares of our common stock were reserved for issuance upon exercise of pre-funded warrants. Additionally, 10,130,481 shares of our common stock were reserved for issuance upon exercise of outstanding stock options and vesting of restricted stock units. The exercise or conversion of these securities will result in a significant increase in the number of outstanding shares and substantially dilute the ownership interests of our existing stockholders. The shares underlying the equity awards from our equity plans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could cause a decline in our stock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initial public offering continue to hold a substantial number of shares of our common stock that many of them are now able to sell in the public market. Significant portions of these shares are held by a relatively small number of stockholders, none of whom have entered into agreements restricting their ability to sell their shares. Sales by our stockholders of a substantial number of shares or distributions of their holdings to their respective limited partners and other equity holders, or the expectation that such sales or distributions, or the expectation that such sales may occur, could significantly reduce the market price of our common stock.</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or settlement of restricted stock units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Certain holders of our common stock have rights, subject to conditions, to require us to file registration statements covering their shares or to include their shares in registration statements that we may file for ourselves or other stockholders. We are obligated to register, and have filed a resale registration statement to register, approximately 31.39 million shares of our common stock pursuant to certain resale registration rights granted to entities affiliated with members of our board of directors. 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We have also filed 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our prior sales agreement, or the Jefferies Sales Agreement, with Jefferies LLC, or Jefferies, we had the ability to offer and sell up to an aggregate amount of $300.0 million of our common stock from time to time in “at-the-market” offerings, subject to the limitations thereof. From October 31, 2024 through the date of its termination in February 2026, we did not make any sales pursuant to the Jefferies Sales Agreement.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February 26, 2026, we entered into a Sales Agreement, or the Cowen Sales Agreement, with TD Securities (USA) LLC, or Cowen, pursuant to which we may offer and sell our common stock, subject to certain limitations in the sales agreement and compliance with applicable law, at any time throughout the term of the Cowen Sales Agreement. The number of shares that are sold by Cowen after delivering a placement notice will fluctuate based on the market price of the common stock during the sales period and limits we set with Cowen. Because the price per share of each share sold will fluctuate based on the market price of our common stock during the sales period, it is not possible at this stage to predict the number of shares that will be ultimately issued. Sales to, or through, Cowen by us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 As of September 30, 2026, we have sold 2,032,140 shares pursuant to the Cowen Sales Agreement.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investors’ sole source of gain.</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rules dealing with U.S. federal, state and local and non-U.S. taxation are constantly under review by persons involved in the legislative process and by the Internal Revenue Service, or IRS, the U.S. Treasury Department and other taxing authorities. For example, the One Big Beautiful Bill Act, or the OBBBA, was signed into law on July 4, 2025 and made significant changes to the U.S. federal tax law. Changes to tax laws (which changes may have retroactive application) could adversely affect us or holders of our common stock. These changes could subject us to additional income-based taxes and non-income taxes (such as payroll, sales, use, value-added, net worth, property, and goods and services taxes), which in turn could materially affect our financial position and results of operations. For example, under Section 174 of the Internal Revenue Code of 1986, as amended, or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 It cannot be predicted whether, when, in what form, or with what effective dates, new tax laws may be enacted, or regulations and rulings may be promulgated or issued under existing or new tax</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jc w:val="both"/>
        <w:spacing w:after="0" w:line="282" w:lineRule="auto"/>
        <w:rPr>
          <w:sz w:val="20"/>
          <w:szCs w:val="20"/>
          <w:color w:val="auto"/>
        </w:rPr>
      </w:pPr>
      <w:r>
        <w:rPr>
          <w:rFonts w:ascii="Times New Roman" w:cs="Times New Roman" w:eastAsia="Times New Roman" w:hAnsi="Times New Roman"/>
          <w:sz w:val="18"/>
          <w:szCs w:val="18"/>
          <w:color w:val="auto"/>
        </w:rPr>
        <w:t>laws, which could result in an increase in our or our shareholders’ tax liability or require changes in the manner in which we operate in order to minimize or mitigate any adverse effects of changes in tax law or in the interpretation thereof.</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we expand the scale of our business activities, any changes in the U.S. and non-U.S. taxation of such activities may increase our effective tax rate and harm our business, financial condition and results of operations. You are urged to consult your tax advisor regarding the implications of potential changes in tax laws on an investment in our common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subject to certain limitations, and, as a result, unavailable to reduce our future tax liability.</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carryforwards of $571.6 million and $607.5 million, respectively, which begin to expire in various amounts in 2037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2025, we also had federal and state research and development tax credit carryforwards of $40.0 million and $18.6 million, respectively, which begin to expire in 2032. These net operating loss and tax credit carryforwards could expire unused and be unavailable to offset future income tax liabilities. In addition, in general, under Sections 382 and 383 of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 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“Risk Factors-Risks Related to our Financial Position and Need for Additional Capital,” we have incurred significant net losses since our inception and anticipate that we will continue to incur significant losses for the foreseeable future; and therefore, we do not know whether or when we will generate the U.S. federal or state taxable income necessary to utilize our NOLs or credit carryforwards that are subject to limitation by Sections 382 and 383 of the Code.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Controls and Reporting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operating results and our ability to operate our business could be harmed.</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1" w:name="page92"/>
    <w:bookmarkEnd w:id="91"/>
    <w:p>
      <w:pPr>
        <w:jc w:val="both"/>
        <w:spacing w:after="0" w:line="261" w:lineRule="auto"/>
        <w:rPr>
          <w:sz w:val="20"/>
          <w:szCs w:val="20"/>
          <w:color w:val="auto"/>
        </w:rPr>
      </w:pPr>
      <w:r>
        <w:rPr>
          <w:rFonts w:ascii="Times New Roman" w:cs="Times New Roman" w:eastAsia="Times New Roman" w:hAnsi="Times New Roman"/>
          <w:sz w:val="18"/>
          <w:szCs w:val="18"/>
          <w:color w:val="auto"/>
        </w:rPr>
        <w:t>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Charter and Bylaws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w:t>
      </w:r>
    </w:p>
    <w:p>
      <w:pPr>
        <w:spacing w:after="0" w:line="68" w:lineRule="exact"/>
        <w:rPr>
          <w:sz w:val="20"/>
          <w:szCs w:val="20"/>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2" w:name="page93"/>
    <w:bookmarkEnd w:id="9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federal district courts of the United States of America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of America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or the current administration may make substantial changes to fiscal, tax, and other federal policies that may adversely affect our business.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the start of the current administration in 2025, there have been significant changes to U.S. trade, healthcare, immigration and government regulatory policy and additional changes are likely. For example, the U.S. government has imposed substantial tariffs on most countries throughout the world and has further threatened to continue to broadly impose tariffs, which could lead to corresponding punitive actions by the countries with which the U.S. trades. Changes to U.S. policy implemented by the U.S. Congress, the current administration or any new future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quarter ended September 30, 2026, we did not have any sales of unregistered securities.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There were no trading arrangements for the purchase or sale of our securities entered into, modified or terminated by our Directors or Officers during the third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81" w:right="5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20" w:type="dxa"/>
            <w:vAlign w:val="bottom"/>
            <w:gridSpan w:val="5"/>
            <w:vMerge w:val="restart"/>
          </w:tcPr>
          <w:p>
            <w:pPr>
              <w:ind w:left="3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22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Consulting Agreement between Kymera Therapeutics, Inc. and Jared Gollob, M.D. dated October 1, 2026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680" w:type="dxa"/>
            <w:vAlign w:val="bottom"/>
            <w:tcBorders>
              <w:right w:val="single" w:sz="8" w:color="0000EE"/>
            </w:tcBorders>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2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jc w:val="both"/>
        <w:ind w:firstLine="8"/>
        <w:spacing w:after="0" w:line="266" w:lineRule="auto"/>
        <w:tabs>
          <w:tab w:leader="none" w:pos="14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Kymera Therapeutics,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Nello Mainolfi, Ph.D.</w:t>
            </w:r>
          </w:p>
        </w:tc>
      </w:tr>
      <w:tr>
        <w:trPr>
          <w:trHeight w:val="187"/>
        </w:trPr>
        <w:tc>
          <w:tcPr>
            <w:tcW w:w="3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tc>
      </w:tr>
      <w:tr>
        <w:trPr>
          <w:trHeight w:val="238"/>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Bruce Jacobs, CFA, MBA</w:t>
            </w:r>
          </w:p>
        </w:tc>
      </w:tr>
      <w:tr>
        <w:trPr>
          <w:trHeight w:val="187"/>
        </w:trPr>
        <w:tc>
          <w:tcPr>
            <w:tcW w:w="3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Bruce Jacobs, CFA, MBA</w:t>
            </w:r>
          </w:p>
        </w:tc>
      </w:tr>
      <w:tr>
        <w:trPr>
          <w:trHeight w:val="238"/>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648"/>
        </w:trPr>
        <w:tc>
          <w:tcPr>
            <w:tcW w:w="3620" w:type="dxa"/>
            <w:vAlign w:val="bottom"/>
          </w:tcPr>
          <w:p>
            <w:pPr>
              <w:spacing w:after="0"/>
              <w:rPr>
                <w:sz w:val="24"/>
                <w:szCs w:val="24"/>
                <w:color w:val="auto"/>
              </w:rPr>
            </w:pPr>
          </w:p>
        </w:tc>
        <w:tc>
          <w:tcPr>
            <w:tcW w:w="2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91</w:t>
            </w:r>
          </w:p>
        </w:tc>
        <w:tc>
          <w:tcPr>
            <w:tcW w:w="5220" w:type="dxa"/>
            <w:vAlign w:val="bottom"/>
          </w:tcPr>
          <w:p>
            <w:pPr>
              <w:spacing w:after="0"/>
              <w:rPr>
                <w:sz w:val="24"/>
                <w:szCs w:val="24"/>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200" w:lineRule="exact"/>
        <w:rPr>
          <w:sz w:val="20"/>
          <w:szCs w:val="20"/>
          <w:color w:val="auto"/>
        </w:rPr>
      </w:pPr>
    </w:p>
    <w:p>
      <w:pPr>
        <w:spacing w:after="0" w:line="25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CONSULTING AGREEMENT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as of this day October 1, 2026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between Kymera Therapeutics, Inc., a Delaware corporation with offices at 500 North Beacon Street, 4th Floor Watertown, MA 02472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Jared Gollob, MD (hereinafter referred to as</w:t>
      </w:r>
      <w:r>
        <w:rPr>
          <w:rFonts w:ascii="Times New Roman" w:cs="Times New Roman" w:eastAsia="Times New Roman" w:hAnsi="Times New Roman"/>
          <w:sz w:val="20"/>
          <w:szCs w:val="20"/>
          <w:b w:val="1"/>
          <w:bCs w:val="1"/>
          <w:i w:val="1"/>
          <w:iCs w:val="1"/>
          <w:color w:val="auto"/>
        </w:rPr>
        <w:t xml:space="preserve"> “Consultant”</w:t>
      </w:r>
      <w:r>
        <w:rPr>
          <w:rFonts w:ascii="Times New Roman" w:cs="Times New Roman" w:eastAsia="Times New Roman" w:hAnsi="Times New Roman"/>
          <w:sz w:val="20"/>
          <w:szCs w:val="20"/>
          <w:color w:val="auto"/>
        </w:rPr>
        <w:t>). The Company and the Consultant may be referred herein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individually as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xml:space="preserve"> or collectively, as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p>
    <w:p>
      <w:pPr>
        <w:spacing w:after="0" w:line="112"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WHEREAS, the Company desires to engage Consultant to perform certain duties as shall be assigned to Consultant by the Company from time to time;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Consultant desires to be so engaged by the Company; and</w:t>
      </w:r>
    </w:p>
    <w:p>
      <w:pPr>
        <w:spacing w:after="0" w:line="22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WHEREAS, the Company and Consultant desire to set forth in writing the terms and conditions of their agreements and understandings.</w:t>
      </w:r>
    </w:p>
    <w:p>
      <w:pPr>
        <w:spacing w:after="0" w:line="17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of the mutual promises herein contained, and of other good and valuable consideration, the receipt and sufficiency of which are hereby acknowledged, the Parties hereto, intending legally to be bound, hereby agree as follows:</w:t>
      </w:r>
    </w:p>
    <w:p>
      <w:pPr>
        <w:spacing w:after="0" w:line="184" w:lineRule="exact"/>
        <w:rPr>
          <w:sz w:val="20"/>
          <w:szCs w:val="20"/>
          <w:color w:val="auto"/>
        </w:rPr>
      </w:pPr>
    </w:p>
    <w:p>
      <w:pPr>
        <w:jc w:val="both"/>
        <w:ind w:firstLine="8"/>
        <w:spacing w:after="0" w:line="242" w:lineRule="auto"/>
        <w:tabs>
          <w:tab w:leader="none" w:pos="509"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Duties of Consultant</w:t>
      </w:r>
      <w:r>
        <w:rPr>
          <w:rFonts w:ascii="Times New Roman" w:cs="Times New Roman" w:eastAsia="Times New Roman" w:hAnsi="Times New Roman"/>
          <w:sz w:val="20"/>
          <w:szCs w:val="20"/>
          <w:color w:val="auto"/>
        </w:rPr>
        <w:t>. Consultant shall provide consulting services (</w:t>
      </w:r>
      <w:r>
        <w:rPr>
          <w:rFonts w:ascii="Times New Roman" w:cs="Times New Roman" w:eastAsia="Times New Roman" w:hAnsi="Times New Roman"/>
          <w:sz w:val="20"/>
          <w:szCs w:val="20"/>
          <w:b w:val="1"/>
          <w:bCs w:val="1"/>
          <w:i w:val="1"/>
          <w:iCs w:val="1"/>
          <w:color w:val="auto"/>
        </w:rPr>
        <w:t>“Services”</w:t>
      </w:r>
      <w:r>
        <w:rPr>
          <w:rFonts w:ascii="Times New Roman" w:cs="Times New Roman" w:eastAsia="Times New Roman" w:hAnsi="Times New Roman"/>
          <w:sz w:val="20"/>
          <w:szCs w:val="20"/>
          <w:color w:val="auto"/>
        </w:rPr>
        <w:t>) as shall be assigned to Consultant by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specific nature and amount of the Services to be performed by the Consultant shall be determined by the Company and set forth in a work order, as such shall be attached hereto from time to time and made a part hereof (</w:t>
      </w:r>
      <w:r>
        <w:rPr>
          <w:rFonts w:ascii="Times New Roman" w:cs="Times New Roman" w:eastAsia="Times New Roman" w:hAnsi="Times New Roman"/>
          <w:sz w:val="20"/>
          <w:szCs w:val="20"/>
          <w:b w:val="1"/>
          <w:bCs w:val="1"/>
          <w:i w:val="1"/>
          <w:iCs w:val="1"/>
          <w:color w:val="auto"/>
        </w:rPr>
        <w:t>“Work Order”</w:t>
      </w:r>
      <w:r>
        <w:rPr>
          <w:rFonts w:ascii="Times New Roman" w:cs="Times New Roman" w:eastAsia="Times New Roman" w:hAnsi="Times New Roman"/>
          <w:sz w:val="20"/>
          <w:szCs w:val="20"/>
          <w:color w:val="auto"/>
        </w:rPr>
        <w:t xml:space="preserve">). The initial Work Order is attached as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All work performed by Consultant shall be documented in a Work Order signed by authorized representatives of both Parties. Each Work Order shall set forth, at a minimum, the date the Services will begin, the date the Services will be completed, a detailed description of the Services to be provided, the deliverables of each assignment, if any, and the fees and payment schedule for the Services to be performed. Consultant shall have the right to accept or decline any proposed Work Order. The manner and means used by the Consultant to perform the Services desired by the Company are in the sole discretion and control of the Consultant. Consultant agrees to perform the Services in a prompt, efficient, skillful and professional manner. Nothing contained herein shall require the Company to engage Consultant for a minimum number of hours or be deemed to be a guarantee to Consultant of a minimum number of hours of engagement by the Company. At their own expense, the Parties shall comply with all applicable laws and orders regarding their respective activities related to this Agreement. The Parties further agree that Consultant is not exclusively engaged by the Company.</w:t>
      </w:r>
    </w:p>
    <w:p>
      <w:pPr>
        <w:spacing w:after="0" w:line="187" w:lineRule="exact"/>
        <w:rPr>
          <w:rFonts w:ascii="Times New Roman" w:cs="Times New Roman" w:eastAsia="Times New Roman" w:hAnsi="Times New Roman"/>
          <w:sz w:val="20"/>
          <w:szCs w:val="20"/>
          <w:b w:val="1"/>
          <w:bCs w:val="1"/>
          <w:color w:val="auto"/>
        </w:rPr>
      </w:pPr>
    </w:p>
    <w:p>
      <w:pPr>
        <w:jc w:val="both"/>
        <w:ind w:firstLine="8"/>
        <w:spacing w:after="0" w:line="253" w:lineRule="auto"/>
        <w:tabs>
          <w:tab w:leader="none" w:pos="509"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 of Engagement</w:t>
      </w:r>
      <w:r>
        <w:rPr>
          <w:rFonts w:ascii="Times New Roman" w:cs="Times New Roman" w:eastAsia="Times New Roman" w:hAnsi="Times New Roman"/>
          <w:sz w:val="20"/>
          <w:szCs w:val="20"/>
          <w:color w:val="auto"/>
        </w:rPr>
        <w:t>. The term of Consultant's engagement for each specific Work Order hereunder shall be as specified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Work Order. The term of this Agreement (the “Term”) shall commence as of the Effective Date and continue until the earlier of:</w:t>
      </w:r>
    </w:p>
    <w:p>
      <w:pPr>
        <w:jc w:val="both"/>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 December 31, 2026, (ii) written notice by Company to Consultant of its desire to terminate this Agreement, or (iii) the Consultant is terminated for “Cause” (as defined in the Kymera Therapeutics, Inc. 2020 Stock Option and Incentive Plan, as amended, (the “Plan”). The termination of this Agreement shall terminate any outstanding Work Order. The Company may terminate any Work Order at any time. In the event of termination for convenience, the Company shall pay Consultant on a pro-rata basis any amounts then due and payable under the relevant Work Order for Services properly performed up to and including the date of such termination and Consultant shall immediately deliver all Work Product, materials, or other property to the Company. In the event that any Services under any Work Order have not been completed by expiration (not termination) of</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0" w:right="339" w:bottom="1440" w:gutter="0" w:footer="0" w:header="0"/>
        </w:sectPr>
      </w:pPr>
    </w:p>
    <w:bookmarkStart w:id="97" w:name="page98"/>
    <w:bookmarkEnd w:id="97"/>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this Agreement, this Agreement and the applicable Work Order shall continue in full force and effect until Consultant’s completion of any unperformed obligations under such Work Order. Notwithstanding the foregoing, the termination or expiration of this Agreement for any reason shall not terminate or in any way affect Consultant's obligations set forth in Sections 5(b) and 6-13 hereof.</w:t>
      </w:r>
    </w:p>
    <w:p>
      <w:pPr>
        <w:spacing w:after="0" w:line="170" w:lineRule="exact"/>
        <w:rPr>
          <w:sz w:val="20"/>
          <w:szCs w:val="20"/>
          <w:color w:val="auto"/>
        </w:rPr>
      </w:pPr>
    </w:p>
    <w:p>
      <w:pPr>
        <w:jc w:val="both"/>
        <w:ind w:firstLine="8"/>
        <w:spacing w:after="0" w:line="242" w:lineRule="auto"/>
        <w:tabs>
          <w:tab w:leader="none" w:pos="509"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compliance by Consultant with this Agreement, the Company shall pay Consultant the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specified in the applicable Work Order in consideration for Services performed. Consultant acknowledges and agrees that Consultant’s judgment with respect to the Services will not be affected by the compensation received pursuant to this Agreement and that the payments made pursuant to this Agreement for Consultant’s performance of Services are consistent with arm’s length transactions, represent the fair market value of the Services and are not in exchange for an agreement by Consultant to prescribe, use or recommend the prescription or use of any product(s). During the Term, the Company shall not be obligated, under any circumstances, to pay for, or keep in effect, any hospitalization, health, life or other insurance for the benefit of Consultant, to pay any employment or similar taxes, to make any tax withholdings or to provide any benefits that the Company provides to its employees. All payroll and employment taxes, insurance and benefits shall be the sole responsibility of Consultant. If Consultant is reclassified by a state or federal agency or court as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spacing w:after="0" w:line="187" w:lineRule="exact"/>
        <w:rPr>
          <w:rFonts w:ascii="Times New Roman" w:cs="Times New Roman" w:eastAsia="Times New Roman" w:hAnsi="Times New Roman"/>
          <w:sz w:val="20"/>
          <w:szCs w:val="20"/>
          <w:b w:val="1"/>
          <w:bCs w:val="1"/>
          <w:color w:val="auto"/>
        </w:rPr>
      </w:pPr>
    </w:p>
    <w:p>
      <w:pPr>
        <w:jc w:val="both"/>
        <w:ind w:firstLine="8"/>
        <w:spacing w:after="0" w:line="257" w:lineRule="auto"/>
        <w:tabs>
          <w:tab w:leader="none" w:pos="509" w:val="left"/>
        </w:tabs>
        <w:numPr>
          <w:ilvl w:val="0"/>
          <w:numId w:val="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Expenses Incurred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During the Term, the Company shall reimburse Consultant for all reasonable travel, long-distance telephone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business expenses paid or incurred by Consultant in connection with the performance of the Services with respect to a Work Order (which expenses must be pre-approved by the Company or must be specifically referenced on the applicable Work Order with respect to particular Services to be performed), upon presentation of expense statements, vouchers or other evidence of expenses providing the detail required by the Company. Consultant shall maintain financial records and any records generated in the course of performing Services for one</w:t>
      </w:r>
    </w:p>
    <w:p>
      <w:pPr>
        <w:spacing w:after="0" w:line="3" w:lineRule="exact"/>
        <w:rPr>
          <w:rFonts w:ascii="Times New Roman" w:cs="Times New Roman" w:eastAsia="Times New Roman" w:hAnsi="Times New Roman"/>
          <w:sz w:val="19"/>
          <w:szCs w:val="19"/>
          <w:b w:val="1"/>
          <w:bCs w:val="1"/>
          <w:color w:val="auto"/>
        </w:rPr>
      </w:pPr>
    </w:p>
    <w:p>
      <w:pPr>
        <w:spacing w:after="0" w:line="24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(1) year from termination or expiration of this Agreement, including documentation of time expended (if payment is based on hourly/daily rate) and expenses incurred under this Agreement. Consultant shall make such records available to Company upon request.</w:t>
      </w:r>
    </w:p>
    <w:p>
      <w:pPr>
        <w:spacing w:after="0" w:line="177" w:lineRule="exact"/>
        <w:rPr>
          <w:rFonts w:ascii="Times New Roman" w:cs="Times New Roman" w:eastAsia="Times New Roman" w:hAnsi="Times New Roman"/>
          <w:sz w:val="19"/>
          <w:szCs w:val="19"/>
          <w:b w:val="1"/>
          <w:bCs w:val="1"/>
          <w:color w:val="auto"/>
        </w:rPr>
      </w:pPr>
    </w:p>
    <w:p>
      <w:pPr>
        <w:ind w:left="520" w:hanging="512"/>
        <w:spacing w:after="0"/>
        <w:tabs>
          <w:tab w:leader="none" w:pos="52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1" w:lineRule="auto"/>
        <w:tabs>
          <w:tab w:leader="none" w:pos="1018" w:val="left"/>
        </w:tabs>
        <w:numPr>
          <w:ilvl w:val="1"/>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During the Term and in the course of Consultant’s performance hereunder, Consultant may receive or otherwise be exposed to confidential and proprietary information relating to the Company’s technology know-how, data, inventions, developments, plans, business practices, and strategies. Such confidential and proprietary information of the Company (collectively referred to as </w:t>
      </w:r>
      <w:r>
        <w:rPr>
          <w:rFonts w:ascii="Times New Roman" w:cs="Times New Roman" w:eastAsia="Times New Roman" w:hAnsi="Times New Roman"/>
          <w:sz w:val="20"/>
          <w:szCs w:val="20"/>
          <w:b w:val="1"/>
          <w:bCs w:val="1"/>
          <w:i w:val="1"/>
          <w:iCs w:val="1"/>
          <w:color w:val="auto"/>
        </w:rPr>
        <w:t>“Confidential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Information”</w:t>
      </w:r>
      <w:r>
        <w:rPr>
          <w:rFonts w:ascii="Times New Roman" w:cs="Times New Roman" w:eastAsia="Times New Roman" w:hAnsi="Times New Roman"/>
          <w:sz w:val="20"/>
          <w:szCs w:val="20"/>
          <w:color w:val="auto"/>
        </w:rPr>
        <w:t>) may include but not be limited to: (i) confidential and proprietary information supplied to Consultant with the legend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“Confidential” or equivalent; (ii) the Company’s development, clinical or business strategies, financial information (including sales, costs, profits and pricing methods), internal organization, employee information, and customer lists; (iii) the Company’s technology, including, but not limited to, discoveries, inventions, research and development efforts, data, software, trade secrets, processes, samples, media and/or cell lines (and procedures and formulations for producing any such samples, media and/or cell lines), vectors, viruses, assays, plasmids, formulas, methods, product and knowhow and showhow; (iv) all derivatives, improvements, additions, modifications, and enhancements to any of the above, including any such information or material created or developed by Consultant under this Agreement; (v) information of third parties as to which the Company has an obligation of confidentiality; and (vi) the Work Product (as defined below). Consultant acknowledges the confidential and secret character of the Confidential Information and agrees that the Confidential Information is the sole, exclusive and extremely valuable property of the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jc w:val="both"/>
        <w:ind w:firstLine="757"/>
        <w:spacing w:after="0" w:line="241" w:lineRule="auto"/>
        <w:tabs>
          <w:tab w:leader="none" w:pos="1018" w:val="left"/>
        </w:tabs>
        <w:numPr>
          <w:ilvl w:val="1"/>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Consultant agrees that Consultant shall not, directly or indirectly: (i) reproduce any of the Confidential Information except as necessary to perform the Services without the applicable prior written consent of the Company, (ii) use the Confidential Information except in the performance of the Services, and (iii) disclose, divulge, reveal, report, publish, or transfer to any third party for any purpose whatsoever, any Confidential Information. As any breach by Consultant of its covenants and agreements in this Section may cause irreparable injury to the Company that cannot be redressed by the payment of monies, the Company shall be entitled to enjoin any such threatened or continuing violation. Consultant acknowledges that Company holds all right, title, and interest in and to all tangible and intangible incidents of the Confidential Information, including, without limitation, all trade secrets, copyrights, patent rights and derivative works pertaining thereto, and that this Agreement conveys to Consultant only a limited right to use the Confidential Information in the course of performing the Services. Such right is fully revocable in accordance with the provisions of this Agreement. Consultant further agrees that, except for such right of use, it shall not assert any right, title, or interest in or to the Confidential Information and shall hold all Confidential Information in strict confidence. Consultant further agrees not to use Confidential Information in any manner inconsistent with the terms of this Agreement, including without limitation, providing any expert testimony on behalf of a third party against the interest of the Company regarding the Services performed hereunder.</w:t>
      </w:r>
    </w:p>
    <w:p>
      <w:pPr>
        <w:spacing w:after="0" w:line="197" w:lineRule="exact"/>
        <w:rPr>
          <w:rFonts w:ascii="Times New Roman" w:cs="Times New Roman" w:eastAsia="Times New Roman" w:hAnsi="Times New Roman"/>
          <w:sz w:val="20"/>
          <w:szCs w:val="20"/>
          <w:b w:val="1"/>
          <w:bCs w:val="1"/>
          <w:color w:val="auto"/>
        </w:rPr>
      </w:pPr>
    </w:p>
    <w:p>
      <w:pPr>
        <w:jc w:val="both"/>
        <w:ind w:firstLine="757"/>
        <w:spacing w:after="0" w:line="242" w:lineRule="auto"/>
        <w:tabs>
          <w:tab w:leader="none" w:pos="1018" w:val="left"/>
        </w:tabs>
        <w:numPr>
          <w:ilvl w:val="1"/>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Confidential Information shall not include information, which Consultant can establish, (a) is generally known to the public at the time of disclosure or becomes generally known through no breach of this Agreement by Consultant, (b) is lawfully in Consultant’s possession, without obligations of confidentiality at the time of first disclosure other than as a result of a breach of any legal obligation by any third party, or (c) becomes known to Consultant through disclosure by a third party having the legal right to disclose such Confidential Information, provided that such disclosure is made to the receiving party without any obligation of non-use or non-disclosure. Disclosure of Confidential Information shall not be prohibited if such disclosure is directly pursuant to a valid and existing order of a court or other governmental body or agency; provided, however, that (1) Consultant shall first have given prompt notice to the Company of any such possible or prospective order (or proceeding pursuant to which any such order may result) and (2) the Company shall have been afforded a reasonable opportunity to prevent or limit any such disclosure. Consultant agrees to promptly return or destroy, at Company’s option, all Confidential Information, and all copies thereof, in Consultant's possession or under Consultant's control at the request of the Company or, in the absence of such a request, upon the termination or expiration of this Agreement. Consultant will certify that it has complied with the foregoing within thirty (30) days of termination or expiration.</w:t>
      </w:r>
    </w:p>
    <w:p>
      <w:pPr>
        <w:spacing w:after="0" w:line="187" w:lineRule="exact"/>
        <w:rPr>
          <w:rFonts w:ascii="Times New Roman" w:cs="Times New Roman" w:eastAsia="Times New Roman" w:hAnsi="Times New Roman"/>
          <w:sz w:val="20"/>
          <w:szCs w:val="20"/>
          <w:b w:val="1"/>
          <w:bCs w:val="1"/>
          <w:color w:val="auto"/>
        </w:rPr>
      </w:pPr>
    </w:p>
    <w:p>
      <w:pPr>
        <w:jc w:val="both"/>
        <w:ind w:firstLine="757"/>
        <w:spacing w:after="0" w:line="244" w:lineRule="auto"/>
        <w:tabs>
          <w:tab w:leader="none" w:pos="1018" w:val="left"/>
        </w:tabs>
        <w:numPr>
          <w:ilvl w:val="1"/>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Consultant acknowledges that, during the performance of this Agreement, Consultant may come into possession of certain material information about Company or its affiliates that has not yet been disclosed to the public. Consultant agrees to comply with the rules and regulations of the United States Securities and Exchange Commission (“SEC”), including those related to insider trading, for as long as Consultant is in possession of such material, non-public information about Company or its affiliates. Consultant is hereby notified that Consultant must not trade in Company securities on Consultant’s behalf or on the behalf of others while in possession of any such material, non-public information or communicate such information to any other person when it is reasonably foreseeable that such other person is likely to purchase or sell Company securities in reliance upon such information.</w:t>
      </w:r>
    </w:p>
    <w:p>
      <w:pPr>
        <w:spacing w:after="0" w:line="181" w:lineRule="exact"/>
        <w:rPr>
          <w:rFonts w:ascii="Times New Roman" w:cs="Times New Roman" w:eastAsia="Times New Roman" w:hAnsi="Times New Roman"/>
          <w:sz w:val="20"/>
          <w:szCs w:val="20"/>
          <w:b w:val="1"/>
          <w:bCs w:val="1"/>
          <w:color w:val="auto"/>
        </w:rPr>
      </w:pPr>
    </w:p>
    <w:p>
      <w:pPr>
        <w:jc w:val="both"/>
        <w:ind w:firstLine="8"/>
        <w:spacing w:after="0" w:line="247" w:lineRule="auto"/>
        <w:tabs>
          <w:tab w:leader="none" w:pos="509"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Ownership of Inventions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covenants and agrees that all right, title and interest in any and all ideas, know-how,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information, findings, reports, inventions, writings, disclosures, discoveries, developments and improvements learned, written, invented, made or conceived by Consultant in the course of or arising out of this Agreement (hereinafter referred to as </w:t>
      </w:r>
      <w:r>
        <w:rPr>
          <w:rFonts w:ascii="Times New Roman" w:cs="Times New Roman" w:eastAsia="Times New Roman" w:hAnsi="Times New Roman"/>
          <w:sz w:val="20"/>
          <w:szCs w:val="20"/>
          <w:b w:val="1"/>
          <w:bCs w:val="1"/>
          <w:i w:val="1"/>
          <w:iCs w:val="1"/>
          <w:color w:val="auto"/>
        </w:rPr>
        <w:t>“Work Product”</w:t>
      </w:r>
      <w:r>
        <w:rPr>
          <w:rFonts w:ascii="Times New Roman" w:cs="Times New Roman" w:eastAsia="Times New Roman" w:hAnsi="Times New Roman"/>
          <w:sz w:val="20"/>
          <w:szCs w:val="20"/>
          <w:color w:val="auto"/>
        </w:rPr>
        <w:t>) shall remain the sole and exclusive property of Company. Consultant hereby assigns to the Company all Consultant’s right, title and interest in and to any and all Work Product. Consultant further explicitly acknowledges and agrees that all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jc w:val="both"/>
        <w:ind w:firstLine="509"/>
        <w:spacing w:after="0" w:line="242" w:lineRule="auto"/>
        <w:rPr>
          <w:sz w:val="20"/>
          <w:szCs w:val="20"/>
          <w:color w:val="auto"/>
        </w:rPr>
      </w:pPr>
      <w:r>
        <w:rPr>
          <w:rFonts w:ascii="Times New Roman" w:cs="Times New Roman" w:eastAsia="Times New Roman" w:hAnsi="Times New Roman"/>
          <w:sz w:val="20"/>
          <w:szCs w:val="20"/>
          <w:color w:val="auto"/>
        </w:rPr>
        <w:t>works of authorship contained in the Work Product are “works for hire” under the copyright laws of the United States, and that the Company shall own the copyright in all such works of authorship. Consultant agrees to promptly and fully disclose all Work Product to Company and agrees to keep and maintain adequate and current records (in the form of notes, sketches, drawings or in any other form that may be required by the Company) of all work performed relating to the Services, including all proprietary information developed relating thereto, and such records shall be available to and remain the sole property of the Company at all times. Consultant agrees to assist the Company in every proper way and to execute any instruments and to do all other things reasonably requested by the Company (both during and after the Term) in order to vest more fully in the Company all ownership rights in Work Product. Consultant hereby irrevocably appoints Company and its officers as Consultant’s agent and attorney-in-fact to execute and file any patent applications and related documents if Consultant is deemed to be an “inventor” of an invention within or comprising the Work Product. Consultant shall have written confidentiality and assignment of intellectual property rights agreements in place with any of its employees, agents, contractors or consultants who do any work related to this Agreement so as to make this Agreement enforceable against such its employees, agents, contractors or consultants.</w:t>
      </w:r>
    </w:p>
    <w:p>
      <w:pPr>
        <w:spacing w:after="0" w:line="183" w:lineRule="exact"/>
        <w:rPr>
          <w:sz w:val="20"/>
          <w:szCs w:val="20"/>
          <w:color w:val="auto"/>
        </w:rPr>
      </w:pPr>
    </w:p>
    <w:p>
      <w:pPr>
        <w:jc w:val="both"/>
        <w:ind w:firstLine="8"/>
        <w:spacing w:after="0" w:line="256" w:lineRule="auto"/>
        <w:tabs>
          <w:tab w:leader="none" w:pos="509"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Indemnification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agrees to indemnify, defend and hold harmless Company for all claims, damages, expenses, losses, suits,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demands, and other costs (including reasonable attorney’s fees and costs) arising out of Consultant’s negligent acts or omissions or breach in connection with this Agreement.</w:t>
      </w:r>
    </w:p>
    <w:p>
      <w:pPr>
        <w:spacing w:after="0" w:line="168"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Representations, Warranties, and Covenants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18" w:val="left"/>
        </w:tabs>
        <w:numPr>
          <w:ilvl w:val="1"/>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Consultant represents and warrants that Consultant has the full right, power and authority to enter into this Agreement and to perform its obligations hereunder.</w:t>
      </w:r>
    </w:p>
    <w:p>
      <w:pPr>
        <w:spacing w:after="0" w:line="15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Consultant represents and warrants that Consultant's performance under this Agreement does not and will not breach any fiduciary or other duty or any covenant, agreement or understanding (including, without limitation, any agreement relating to any proprietary information, knowledge or data acquired by Consultant in confidence, trust or otherwise prior to Consultant’s engagement by the Company) to which Consultant is a party or by the terms of which Consultant may be bound. Consultant represents and warrants that it will not enter into any agreement, either written or oral, that would conflict with Consultant’s responsibilities under this Agreement.</w:t>
      </w:r>
    </w:p>
    <w:p>
      <w:pPr>
        <w:spacing w:after="0" w:line="184"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18" w:val="left"/>
        </w:tabs>
        <w:numPr>
          <w:ilvl w:val="1"/>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Consultant represents and warrants that Consultant will not disclose to the Company, or use in the course of performing the Services, or induce the Company to use, any such proprietary information, knowledge or data belonging to any previous employer or client or others. Consultant represents and warrants that Consultant has and will not use any Confidential Information in performance of services for any third party.</w:t>
      </w:r>
    </w:p>
    <w:p>
      <w:pPr>
        <w:spacing w:after="0" w:line="179"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18" w:val="left"/>
        </w:tabs>
        <w:numPr>
          <w:ilvl w:val="1"/>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Consultant represents and warrants that the Services will be performed in a good, professional and workmanlike manner and conform in all respects to the specifications for Services.</w:t>
      </w:r>
    </w:p>
    <w:p>
      <w:pPr>
        <w:spacing w:after="0" w:line="159"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18" w:val="left"/>
        </w:tabs>
        <w:numPr>
          <w:ilvl w:val="1"/>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Consultant represents and warrants that Consultant will strictly comply with Company’s policies and procedures that are made available to Consultant.</w:t>
      </w:r>
    </w:p>
    <w:p>
      <w:pPr>
        <w:spacing w:after="0" w:line="159"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18" w:val="left"/>
        </w:tabs>
        <w:numPr>
          <w:ilvl w:val="1"/>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Consultant represents and warrants that, in performing Services hereunder, Consultant will not violate, misappropriate, or infringe in any manner any right of privacy, right of publication, property right (real, personal or otherwise, including, without limitation, any trade secret, copyright or other intellectual or intangible property right) or any other right or legally protected interest of any type or nature of any person or entity.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jc w:val="both"/>
        <w:ind w:firstLine="757"/>
        <w:spacing w:after="0" w:line="263" w:lineRule="auto"/>
        <w:tabs>
          <w:tab w:leader="none" w:pos="1018" w:val="left"/>
        </w:tabs>
        <w:numPr>
          <w:ilvl w:val="1"/>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Consultant represents and warrants that in performing Services hereunder Consultant will comply with all applicable federal, state and local laws, rules, regulations, ordinances, and guidelines, including, without limitation, (a) the Social Security Act; (b) HIPAA; (c) all federal and state health care anti-fraud and abuse laws; (d) all state privacy, and consumer protection laws including MA 201 CMR 17; (e) all rules and regulations of the FDA and the Center for Medicare and Medicaid Services (CMS); and (f) the PhRMA Code on Interactions with Healthcare Professionals (the “PhRMA Code”) promulgated by the Pharmaceutical Research and Manufacturers of America.</w:t>
      </w:r>
    </w:p>
    <w:p>
      <w:pPr>
        <w:spacing w:after="0" w:line="166" w:lineRule="exact"/>
        <w:rPr>
          <w:rFonts w:ascii="Times New Roman" w:cs="Times New Roman" w:eastAsia="Times New Roman" w:hAnsi="Times New Roman"/>
          <w:sz w:val="19"/>
          <w:szCs w:val="19"/>
          <w:b w:val="1"/>
          <w:bCs w:val="1"/>
          <w:color w:val="auto"/>
        </w:rPr>
      </w:pPr>
    </w:p>
    <w:p>
      <w:pPr>
        <w:jc w:val="both"/>
        <w:ind w:firstLine="757"/>
        <w:spacing w:after="0" w:line="244" w:lineRule="auto"/>
        <w:tabs>
          <w:tab w:leader="none" w:pos="1018"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Consultant represents and warrants that it has not been nor is currently: (1) debarred by the United States Food and Drug Administration (</w:t>
      </w:r>
      <w:r>
        <w:rPr>
          <w:rFonts w:ascii="Times New Roman" w:cs="Times New Roman" w:eastAsia="Times New Roman" w:hAnsi="Times New Roman"/>
          <w:sz w:val="20"/>
          <w:szCs w:val="20"/>
          <w:b w:val="1"/>
          <w:bCs w:val="1"/>
          <w:i w:val="1"/>
          <w:iCs w:val="1"/>
          <w:color w:val="auto"/>
        </w:rPr>
        <w:t>“FDA”</w:t>
      </w:r>
      <w:r>
        <w:rPr>
          <w:rFonts w:ascii="Times New Roman" w:cs="Times New Roman" w:eastAsia="Times New Roman" w:hAnsi="Times New Roman"/>
          <w:sz w:val="20"/>
          <w:szCs w:val="20"/>
          <w:color w:val="auto"/>
        </w:rPr>
        <w:t>), or subject to any similar sanction of the European Medicines Agency (</w:t>
      </w:r>
      <w:r>
        <w:rPr>
          <w:rFonts w:ascii="Times New Roman" w:cs="Times New Roman" w:eastAsia="Times New Roman" w:hAnsi="Times New Roman"/>
          <w:sz w:val="20"/>
          <w:szCs w:val="20"/>
          <w:b w:val="1"/>
          <w:bCs w:val="1"/>
          <w:i w:val="1"/>
          <w:iCs w:val="1"/>
          <w:color w:val="auto"/>
        </w:rPr>
        <w:t>“EMA”</w:t>
      </w:r>
      <w:r>
        <w:rPr>
          <w:rFonts w:ascii="Times New Roman" w:cs="Times New Roman" w:eastAsia="Times New Roman" w:hAnsi="Times New Roman"/>
          <w:sz w:val="20"/>
          <w:szCs w:val="20"/>
          <w:color w:val="auto"/>
        </w:rPr>
        <w:t>) or other applicable authority, or (2) the subject of an FDA investigation or proceeding of debarment, or the subject of any similar investigation or proceeding by the EMA or other applicable authority. Further, Consultant hereby represents and warrants that it shall not employ or use any individual or entity that has been or is currently so debarred or subject to such investigation or proceeding of debarment in performing the Services. Consultant will immediately notify Company if it, or any individual or entity it employs in performing the Services becomes debarred or subject to an investigating or proceeding of debarment.</w:t>
      </w:r>
    </w:p>
    <w:p>
      <w:pPr>
        <w:spacing w:after="0" w:line="181"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509"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Independent Contractor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Consultant shall at all times be an independent contractor hereunder, and not a co-venturer, 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 or representative of the Company, and no act, action or omission to act of Consultant shall in any way be binding upon or obligate the Company. No change in Consultant's duties as a consultant of the Company shall result in, or be deemed to be, a modification of the terms of this Agreement. Consultant shall not be treated as an employee for Federal, state, or local tax purposes. Consultant hereby represents and warrants to the Company that Consultant is an independent contractor for Federal, state and local tax purposes. Further, Consultant hereby covenants and agrees to pay any and all Federal, state and local taxes required by law to be paid by an independent contractor, including, without limitation, any taxes imposed by the Self Employment Contribution Act, any state worker’s compensation insurance coverage requirements and any U.S. immigration visa requirements. In addition, Company will not provide insurance coverage to Consultant for work-related accidents, illnesses, damages or injuries arising out of or in connection with Consultant’s independent contractor Services. Therefore, Consultant is responsible for securing such insurance before performing Services. Consultant agrees to indemnify, defend, and hold Company harmless from all claims for any work-related accidents, illnesses, damages or injuries that Consultant may suffer in connection with performing Services hereunder. Nothing in the or this Agreement constitutes an employment contract between the Company and Consultant and this Agreement shall not confer upon the Consultant any right to employment with the Company.</w:t>
      </w:r>
    </w:p>
    <w:p>
      <w:pPr>
        <w:spacing w:after="0" w:line="169" w:lineRule="exact"/>
        <w:rPr>
          <w:rFonts w:ascii="Times New Roman" w:cs="Times New Roman" w:eastAsia="Times New Roman" w:hAnsi="Times New Roman"/>
          <w:sz w:val="19"/>
          <w:szCs w:val="19"/>
          <w:b w:val="1"/>
          <w:bCs w:val="1"/>
          <w:color w:val="auto"/>
        </w:rPr>
      </w:pPr>
    </w:p>
    <w:p>
      <w:pPr>
        <w:jc w:val="both"/>
        <w:ind w:firstLine="8"/>
        <w:spacing w:after="0" w:line="246" w:lineRule="auto"/>
        <w:tabs>
          <w:tab w:leader="none" w:pos="509"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 governed and construed in accordance with the laws of the Commonwealth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Massachusetts, without regard to its conflicts of-law principles, and all claims relating to or arising out of this Agreement, or the breach thereof, whether sounding in contract, tort or otherwise, shall likewise be governed by the laws of the Commonwealth of Massachusetts, without regard to its conflicts of-law principles. Any Party bringing a legal action or proceeding against any other Party arising out of or relating to this Agreement shall bring the legal action or proceeding in the state or federal courts of Massachusetts, and each Party hereby consents to the jurisdiction and venue of such courts.</w:t>
      </w:r>
    </w:p>
    <w:p>
      <w:pPr>
        <w:spacing w:after="0" w:line="178" w:lineRule="exact"/>
        <w:rPr>
          <w:rFonts w:ascii="Times New Roman" w:cs="Times New Roman" w:eastAsia="Times New Roman" w:hAnsi="Times New Roman"/>
          <w:sz w:val="20"/>
          <w:szCs w:val="20"/>
          <w:b w:val="1"/>
          <w:bCs w:val="1"/>
          <w:color w:val="auto"/>
        </w:rPr>
      </w:pPr>
    </w:p>
    <w:p>
      <w:pPr>
        <w:jc w:val="both"/>
        <w:ind w:firstLine="8"/>
        <w:spacing w:after="0" w:line="276" w:lineRule="auto"/>
        <w:tabs>
          <w:tab w:leader="none" w:pos="509"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notice required to be given hereunder shall be sufficient if in writing, and received by courier service (with proof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service) or certified or registered mail (return receipt requested, first-class postage prepaid), in the case of Consultant, to Consultant's address as shown on the Company's records, and, in the case of the Company, to its principal office shown in the first paragraph of this Agreement.</w:t>
      </w:r>
    </w:p>
    <w:p>
      <w:pPr>
        <w:spacing w:after="0" w:line="150" w:lineRule="exact"/>
        <w:rPr>
          <w:rFonts w:ascii="Times New Roman" w:cs="Times New Roman" w:eastAsia="Times New Roman" w:hAnsi="Times New Roman"/>
          <w:sz w:val="19"/>
          <w:szCs w:val="19"/>
          <w:b w:val="1"/>
          <w:bCs w:val="1"/>
          <w:color w:val="auto"/>
        </w:rPr>
      </w:pPr>
    </w:p>
    <w:p>
      <w:pPr>
        <w:ind w:firstLine="8"/>
        <w:spacing w:after="0" w:line="273" w:lineRule="auto"/>
        <w:tabs>
          <w:tab w:leader="none" w:pos="509"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Company Affiliates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Agreement, “affiliate” means, any corporation, company, partnership, joint venture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firm which controls, is controlled by or is under common control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jc w:val="both"/>
        <w:ind w:firstLine="509"/>
        <w:spacing w:after="0" w:line="242" w:lineRule="auto"/>
        <w:rPr>
          <w:sz w:val="20"/>
          <w:szCs w:val="20"/>
          <w:color w:val="auto"/>
        </w:rPr>
      </w:pPr>
      <w:r>
        <w:rPr>
          <w:rFonts w:ascii="Times New Roman" w:cs="Times New Roman" w:eastAsia="Times New Roman" w:hAnsi="Times New Roman"/>
          <w:sz w:val="20"/>
          <w:szCs w:val="20"/>
          <w:color w:val="auto"/>
        </w:rPr>
        <w:t xml:space="preserve">with the Company. As used in this definition, “control” means (i) in the case of corporate entities, direct or indirect ownership of at least fifty percent (50%) of the stock or shares having the right to vote for the election of directors (or such lesser percentage that is the maximum allowed to be owned by a foreign corporation in a particular jurisdiction), and (ii) in the case of noncorporate entities, the direct or indirect power to manage, direct or cause the direction of the management and policies of the noncorporate entity or the power to elect at least fifty percent (50%) of the members of the governing body of such non-corporate entity. An affiliate of the Company (a </w:t>
      </w:r>
      <w:r>
        <w:rPr>
          <w:rFonts w:ascii="Times New Roman" w:cs="Times New Roman" w:eastAsia="Times New Roman" w:hAnsi="Times New Roman"/>
          <w:sz w:val="20"/>
          <w:szCs w:val="20"/>
          <w:b w:val="1"/>
          <w:bCs w:val="1"/>
          <w:i w:val="1"/>
          <w:iCs w:val="1"/>
          <w:color w:val="auto"/>
        </w:rPr>
        <w:t>“Development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may enter into a Work Order with the Consultant without executing a Consulting Agreement. Upon execution of such Work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Order by the Consultant and such Development Company, both the Consultant and Development Company shall be deemed to have entered into a Consulting Agreement (each, an “</w:t>
      </w:r>
      <w:r>
        <w:rPr>
          <w:rFonts w:ascii="Times New Roman" w:cs="Times New Roman" w:eastAsia="Times New Roman" w:hAnsi="Times New Roman"/>
          <w:sz w:val="20"/>
          <w:szCs w:val="20"/>
          <w:b w:val="1"/>
          <w:bCs w:val="1"/>
          <w:i w:val="1"/>
          <w:iCs w:val="1"/>
          <w:color w:val="auto"/>
        </w:rPr>
        <w:t>Affiliate Consulting Agreement</w:t>
      </w:r>
      <w:r>
        <w:rPr>
          <w:rFonts w:ascii="Times New Roman" w:cs="Times New Roman" w:eastAsia="Times New Roman" w:hAnsi="Times New Roman"/>
          <w:sz w:val="20"/>
          <w:szCs w:val="20"/>
          <w:color w:val="auto"/>
        </w:rPr>
        <w:t>”) on identical terms to this Agreement as if such Development Company were the Company, except that the Company guarantees the performance by such Development Company of its obligations under Sections 3 and 9 until such Development Company is no longer considered an “affiliate.”</w:t>
      </w:r>
    </w:p>
    <w:p>
      <w:pPr>
        <w:spacing w:after="0" w:line="188" w:lineRule="exact"/>
        <w:rPr>
          <w:sz w:val="20"/>
          <w:szCs w:val="20"/>
          <w:color w:val="auto"/>
        </w:rPr>
      </w:pPr>
    </w:p>
    <w:p>
      <w:pPr>
        <w:jc w:val="both"/>
        <w:ind w:firstLine="8"/>
        <w:spacing w:after="0" w:line="247" w:lineRule="auto"/>
        <w:tabs>
          <w:tab w:leader="none" w:pos="509"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Certain Disclosures and Transparency</w:t>
      </w:r>
      <w:r>
        <w:rPr>
          <w:rFonts w:ascii="Times New Roman" w:cs="Times New Roman" w:eastAsia="Times New Roman" w:hAnsi="Times New Roman"/>
          <w:sz w:val="20"/>
          <w:szCs w:val="20"/>
          <w:color w:val="auto"/>
        </w:rPr>
        <w:t>. Consultant acknowledges that Company and its affiliates may be required to abide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disclosure laws and certain transparency policies governing their activities including providing reports to the government and to the public concerning financial. Consultant agrees that Company and its affiliates may, in their sole discretion, disclose information about this Agreement and about Consultant’s Services. Consultant agrees to promptly supply information reasonably requested by Company for disclosure purposes.</w:t>
      </w:r>
    </w:p>
    <w:p>
      <w:pPr>
        <w:spacing w:after="0" w:line="180" w:lineRule="exact"/>
        <w:rPr>
          <w:rFonts w:ascii="Times New Roman" w:cs="Times New Roman" w:eastAsia="Times New Roman" w:hAnsi="Times New Roman"/>
          <w:sz w:val="20"/>
          <w:szCs w:val="20"/>
          <w:b w:val="1"/>
          <w:bCs w:val="1"/>
          <w:color w:val="auto"/>
        </w:rPr>
      </w:pPr>
    </w:p>
    <w:p>
      <w:pPr>
        <w:jc w:val="both"/>
        <w:ind w:firstLine="8"/>
        <w:spacing w:after="0" w:line="241" w:lineRule="auto"/>
        <w:tabs>
          <w:tab w:leader="none" w:pos="509"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contains the entire agreement and understanding by and between Parties with respect to the subject matter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and no representations, promises, agreements or understandings, written or oral, not herein contained shall be of any force or effect. No change or modification hereof shall be valid or binding unless the same is in writing and signed by both Parties. This Agreement shall be binding upon, and shall inure to the benefit of, the Company and Consultant, and their respective successors. However, Consultant may not assign this Agreement or delegate any duties hereunder without the express written authorization of Company. The Company may, however, assign this Agreement in whole or in part without Consultant’s consent. The provisions of this Agreement shall be deemed severable, and the invalidity or unenforceability of any one or more of the provisions hereof shall not affect the validity and enforceability of the other provisions hereof. The headings and other captions in this Agreement are for convenience and reference only and shall not be used in interpreting, construing or enforcing any of the provisions of this Agreement. EACH PARTY ACKNOWLEDGES THAT, IN EXECUTING THIS AGREEMENT, SUCH PARTY HAS HAD THE OPPORTUNITY TO SEEK THE ADVICE OF INDEPENDENT LEGAL COUNSEL, AND HAS READ AND UNDERSTOOD ALL OF THE TERMS AND PROVISIONS OF THIS AGREEMENT. THIS AGREEMENT SHALL NOT BE CONSTRUED AGAINST ANY PARTY BY REASON OF THE DRAFTING OR PREPARATION HEREOF. No waiver of any provision of this Agreement shall be valid unless the same is in writing and signed by the Party against whom such waiver is sought to be enforced; moreover, no valid waiver of any provision of this Agreement at any time shall be deemed a waiver of any other provision of this Agreement at such time or shall be deemed a valid waiver of such provision at any other time. This Agreement may be executed by facsimile or Portable Document Format (PDF) sent by electronic mail and in one or more counterparts each of which will be deemed an original, but all of which together shall constitute one and the same instrument.</w:t>
      </w:r>
    </w:p>
    <w:p>
      <w:pPr>
        <w:spacing w:after="0" w:line="191" w:lineRule="exact"/>
        <w:rPr>
          <w:rFonts w:ascii="Times New Roman" w:cs="Times New Roman" w:eastAsia="Times New Roman" w:hAnsi="Times New Roman"/>
          <w:sz w:val="20"/>
          <w:szCs w:val="20"/>
          <w:b w:val="1"/>
          <w:bCs w:val="1"/>
          <w:color w:val="auto"/>
        </w:rPr>
      </w:pPr>
    </w:p>
    <w:p>
      <w:pPr>
        <w:jc w:val="both"/>
        <w:ind w:firstLine="8"/>
        <w:spacing w:after="0" w:line="247" w:lineRule="auto"/>
        <w:tabs>
          <w:tab w:leader="none" w:pos="509"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Defend Trade Secrets Act of 2016</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understands that pursuant to the federal Defend Trade Secrets Act of 2016, Consultant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Follows]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489585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3" w:name="page104"/>
    <w:bookmarkEnd w:id="103"/>
    <w:p>
      <w:pPr>
        <w:ind w:left="2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by duly authorized persons, executed this Agreement, as of the date first written above.</w:t>
      </w:r>
    </w:p>
    <w:p>
      <w:pPr>
        <w:spacing w:after="0" w:line="108"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20"/>
          <w:szCs w:val="20"/>
          <w:b w:val="1"/>
          <w:bCs w:val="1"/>
          <w:color w:val="auto"/>
        </w:rPr>
        <w:t>K</w:t>
      </w:r>
      <w:r>
        <w:rPr>
          <w:rFonts w:ascii="Times New Roman" w:cs="Times New Roman" w:eastAsia="Times New Roman" w:hAnsi="Times New Roman"/>
          <w:sz w:val="13"/>
          <w:szCs w:val="13"/>
          <w:b w:val="1"/>
          <w:bCs w:val="1"/>
          <w:color w:val="auto"/>
        </w:rPr>
        <w:t>ymera</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19"/>
          <w:szCs w:val="19"/>
          <w:b w:val="1"/>
          <w:bCs w:val="1"/>
          <w:color w:val="auto"/>
        </w:rPr>
        <w:t>Jared Gollob,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Nello Mainolfi</w:t>
            </w:r>
          </w:p>
        </w:tc>
        <w:tc>
          <w:tcPr>
            <w:tcW w:w="1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By:</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Jared Gollob</w:t>
            </w:r>
          </w:p>
        </w:tc>
        <w:tc>
          <w:tcPr>
            <w:tcW w:w="0" w:type="dxa"/>
            <w:vAlign w:val="bottom"/>
          </w:tcPr>
          <w:p>
            <w:pPr>
              <w:spacing w:after="0"/>
              <w:rPr>
                <w:sz w:val="1"/>
                <w:szCs w:val="1"/>
                <w:color w:val="auto"/>
              </w:rPr>
            </w:pPr>
          </w:p>
        </w:tc>
      </w:tr>
      <w:tr>
        <w:trPr>
          <w:trHeight w:val="911"/>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4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Nello Mainolfi</w:t>
            </w:r>
          </w:p>
        </w:tc>
        <w:tc>
          <w:tcPr>
            <w:tcW w:w="1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Print Name:</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Jared Gollob</w:t>
            </w:r>
          </w:p>
        </w:tc>
        <w:tc>
          <w:tcPr>
            <w:tcW w:w="0" w:type="dxa"/>
            <w:vAlign w:val="bottom"/>
          </w:tcPr>
          <w:p>
            <w:pPr>
              <w:spacing w:after="0"/>
              <w:rPr>
                <w:sz w:val="1"/>
                <w:szCs w:val="1"/>
                <w:color w:val="auto"/>
              </w:rPr>
            </w:pPr>
          </w:p>
        </w:tc>
      </w:tr>
      <w:tr>
        <w:trPr>
          <w:trHeight w:val="688"/>
        </w:trPr>
        <w:tc>
          <w:tcPr>
            <w:tcW w:w="1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4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Founder, President &amp; Chief Executive Officer</w:t>
            </w:r>
          </w:p>
        </w:tc>
        <w:tc>
          <w:tcPr>
            <w:tcW w:w="17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36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Consultant</w:t>
            </w:r>
          </w:p>
        </w:tc>
        <w:tc>
          <w:tcPr>
            <w:tcW w:w="0" w:type="dxa"/>
            <w:vAlign w:val="bottom"/>
          </w:tcPr>
          <w:p>
            <w:pPr>
              <w:spacing w:after="0"/>
              <w:rPr>
                <w:sz w:val="1"/>
                <w:szCs w:val="1"/>
                <w:color w:val="auto"/>
              </w:rPr>
            </w:pPr>
          </w:p>
        </w:tc>
      </w:tr>
      <w:tr>
        <w:trPr>
          <w:trHeight w:val="223"/>
        </w:trPr>
        <w:tc>
          <w:tcPr>
            <w:tcW w:w="1640" w:type="dxa"/>
            <w:vAlign w:val="bottom"/>
            <w:vMerge w:val="continue"/>
          </w:tcPr>
          <w:p>
            <w:pPr>
              <w:spacing w:after="0"/>
              <w:rPr>
                <w:sz w:val="19"/>
                <w:szCs w:val="19"/>
                <w:color w:val="auto"/>
              </w:rPr>
            </w:pPr>
          </w:p>
        </w:tc>
        <w:tc>
          <w:tcPr>
            <w:tcW w:w="4080" w:type="dxa"/>
            <w:vAlign w:val="bottom"/>
            <w:tcBorders>
              <w:bottom w:val="single" w:sz="8" w:color="auto"/>
            </w:tcBorders>
          </w:tcPr>
          <w:p>
            <w:pPr>
              <w:spacing w:after="0"/>
              <w:rPr>
                <w:sz w:val="19"/>
                <w:szCs w:val="19"/>
                <w:color w:val="auto"/>
              </w:rPr>
            </w:pPr>
          </w:p>
        </w:tc>
        <w:tc>
          <w:tcPr>
            <w:tcW w:w="1740" w:type="dxa"/>
            <w:vAlign w:val="bottom"/>
            <w:vMerge w:val="continue"/>
          </w:tcPr>
          <w:p>
            <w:pPr>
              <w:spacing w:after="0"/>
              <w:rPr>
                <w:sz w:val="19"/>
                <w:szCs w:val="19"/>
                <w:color w:val="auto"/>
              </w:rPr>
            </w:pPr>
          </w:p>
        </w:tc>
        <w:tc>
          <w:tcPr>
            <w:tcW w:w="3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12"/>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080" w:type="dxa"/>
            <w:vAlign w:val="bottom"/>
            <w:tcBorders>
              <w:bottom w:val="single" w:sz="8" w:color="auto"/>
            </w:tcBorders>
          </w:tcPr>
          <w:p>
            <w:pPr>
              <w:spacing w:after="0"/>
              <w:rPr>
                <w:sz w:val="24"/>
                <w:szCs w:val="24"/>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3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11"/>
        </w:trPr>
        <w:tc>
          <w:tcPr>
            <w:tcW w:w="16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Address:</w:t>
            </w:r>
          </w:p>
        </w:tc>
        <w:tc>
          <w:tcPr>
            <w:tcW w:w="3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489585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WORK ORDER NO. 1 TO CONSULTING AGREEMENT</w:t>
      </w: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20" w:type="dxa"/>
            <w:vAlign w:val="bottom"/>
            <w:tcBorders>
              <w:top w:val="single" w:sz="8" w:color="auto"/>
              <w:left w:val="single" w:sz="8" w:color="auto"/>
            </w:tcBorders>
          </w:tcPr>
          <w:p>
            <w:pPr>
              <w:spacing w:after="0"/>
              <w:rPr>
                <w:sz w:val="17"/>
                <w:szCs w:val="17"/>
                <w:color w:val="auto"/>
              </w:rPr>
            </w:pPr>
          </w:p>
        </w:tc>
        <w:tc>
          <w:tcPr>
            <w:tcW w:w="3640" w:type="dxa"/>
            <w:vAlign w:val="bottom"/>
            <w:tcBorders>
              <w:top w:val="single" w:sz="8" w:color="auto"/>
              <w:right w:val="single" w:sz="8" w:color="auto"/>
            </w:tcBorders>
            <w:gridSpan w:val="6"/>
          </w:tcPr>
          <w:p>
            <w:pPr>
              <w:spacing w:after="0" w:line="206" w:lineRule="exact"/>
              <w:rPr>
                <w:sz w:val="20"/>
                <w:szCs w:val="20"/>
                <w:color w:val="auto"/>
              </w:rPr>
            </w:pPr>
            <w:r>
              <w:rPr>
                <w:rFonts w:ascii="Times New Roman" w:cs="Times New Roman" w:eastAsia="Times New Roman" w:hAnsi="Times New Roman"/>
                <w:sz w:val="20"/>
                <w:szCs w:val="20"/>
                <w:color w:val="auto"/>
              </w:rPr>
              <w:t>Date Project will begin:</w:t>
            </w:r>
          </w:p>
        </w:tc>
        <w:tc>
          <w:tcPr>
            <w:tcW w:w="7480" w:type="dxa"/>
            <w:vAlign w:val="bottom"/>
            <w:tcBorders>
              <w:top w:val="single" w:sz="8" w:color="auto"/>
              <w:right w:val="single" w:sz="8" w:color="auto"/>
            </w:tcBorders>
          </w:tcPr>
          <w:p>
            <w:pPr>
              <w:ind w:left="120"/>
              <w:spacing w:after="0" w:line="206" w:lineRule="exact"/>
              <w:rPr>
                <w:sz w:val="20"/>
                <w:szCs w:val="20"/>
                <w:color w:val="auto"/>
              </w:rPr>
            </w:pPr>
            <w:r>
              <w:rPr>
                <w:rFonts w:ascii="Times New Roman" w:cs="Times New Roman" w:eastAsia="Times New Roman" w:hAnsi="Times New Roman"/>
                <w:sz w:val="20"/>
                <w:szCs w:val="20"/>
                <w:color w:val="auto"/>
              </w:rPr>
              <w:t>October 1, 2026</w:t>
            </w:r>
          </w:p>
        </w:tc>
      </w:tr>
      <w:tr>
        <w:trPr>
          <w:trHeight w:val="287"/>
        </w:trPr>
        <w:tc>
          <w:tcPr>
            <w:tcW w:w="120" w:type="dxa"/>
            <w:vAlign w:val="bottom"/>
            <w:tcBorders>
              <w:left w:val="single" w:sz="8" w:color="auto"/>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480" w:type="dxa"/>
            <w:vAlign w:val="bottom"/>
            <w:tcBorders>
              <w:bottom w:val="single" w:sz="8" w:color="auto"/>
              <w:right w:val="single" w:sz="8" w:color="auto"/>
            </w:tcBorders>
          </w:tcPr>
          <w:p>
            <w:pPr>
              <w:spacing w:after="0"/>
              <w:rPr>
                <w:sz w:val="24"/>
                <w:szCs w:val="24"/>
                <w:color w:val="auto"/>
              </w:rPr>
            </w:pPr>
          </w:p>
        </w:tc>
      </w:tr>
      <w:tr>
        <w:trPr>
          <w:trHeight w:val="146"/>
        </w:trPr>
        <w:tc>
          <w:tcPr>
            <w:tcW w:w="120" w:type="dxa"/>
            <w:vAlign w:val="bottom"/>
            <w:tcBorders>
              <w:left w:val="single" w:sz="8" w:color="auto"/>
            </w:tcBorders>
          </w:tcPr>
          <w:p>
            <w:pPr>
              <w:spacing w:after="0"/>
              <w:rPr>
                <w:sz w:val="12"/>
                <w:szCs w:val="12"/>
                <w:color w:val="auto"/>
              </w:rPr>
            </w:pPr>
          </w:p>
        </w:tc>
        <w:tc>
          <w:tcPr>
            <w:tcW w:w="3640" w:type="dxa"/>
            <w:vAlign w:val="bottom"/>
            <w:tcBorders>
              <w:right w:val="single" w:sz="8" w:color="auto"/>
            </w:tcBorders>
            <w:gridSpan w:val="6"/>
          </w:tcPr>
          <w:p>
            <w:pPr>
              <w:spacing w:after="0" w:line="146" w:lineRule="exact"/>
              <w:rPr>
                <w:sz w:val="20"/>
                <w:szCs w:val="20"/>
                <w:color w:val="auto"/>
              </w:rPr>
            </w:pPr>
            <w:r>
              <w:rPr>
                <w:rFonts w:ascii="Times New Roman" w:cs="Times New Roman" w:eastAsia="Times New Roman" w:hAnsi="Times New Roman"/>
                <w:sz w:val="16"/>
                <w:szCs w:val="16"/>
                <w:color w:val="auto"/>
              </w:rPr>
              <w:t>Date Project will be complete:</w:t>
            </w:r>
          </w:p>
        </w:tc>
        <w:tc>
          <w:tcPr>
            <w:tcW w:w="7480" w:type="dxa"/>
            <w:vAlign w:val="bottom"/>
            <w:tcBorders>
              <w:right w:val="single" w:sz="8" w:color="auto"/>
            </w:tcBorders>
          </w:tcPr>
          <w:p>
            <w:pPr>
              <w:ind w:left="120"/>
              <w:spacing w:after="0" w:line="146" w:lineRule="exact"/>
              <w:rPr>
                <w:sz w:val="20"/>
                <w:szCs w:val="20"/>
                <w:color w:val="auto"/>
              </w:rPr>
            </w:pPr>
            <w:r>
              <w:rPr>
                <w:rFonts w:ascii="Times New Roman" w:cs="Times New Roman" w:eastAsia="Times New Roman" w:hAnsi="Times New Roman"/>
                <w:sz w:val="16"/>
                <w:szCs w:val="16"/>
                <w:color w:val="auto"/>
              </w:rPr>
              <w:t>December 31, 2026</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7480" w:type="dxa"/>
            <w:vAlign w:val="bottom"/>
            <w:tcBorders>
              <w:bottom w:val="single" w:sz="8" w:color="auto"/>
              <w:right w:val="single" w:sz="8" w:color="auto"/>
            </w:tcBorders>
          </w:tcPr>
          <w:p>
            <w:pPr>
              <w:spacing w:after="0"/>
              <w:rPr>
                <w:sz w:val="21"/>
                <w:szCs w:val="21"/>
                <w:color w:val="auto"/>
              </w:rPr>
            </w:pPr>
          </w:p>
        </w:tc>
      </w:tr>
      <w:tr>
        <w:trPr>
          <w:trHeight w:val="183"/>
        </w:trPr>
        <w:tc>
          <w:tcPr>
            <w:tcW w:w="120" w:type="dxa"/>
            <w:vAlign w:val="bottom"/>
            <w:tcBorders>
              <w:left w:val="single" w:sz="8" w:color="auto"/>
            </w:tcBorders>
          </w:tcPr>
          <w:p>
            <w:pPr>
              <w:spacing w:after="0"/>
              <w:rPr>
                <w:sz w:val="15"/>
                <w:szCs w:val="15"/>
                <w:color w:val="auto"/>
              </w:rPr>
            </w:pPr>
          </w:p>
        </w:tc>
        <w:tc>
          <w:tcPr>
            <w:tcW w:w="2960" w:type="dxa"/>
            <w:vAlign w:val="bottom"/>
            <w:tcBorders>
              <w:bottom w:val="single" w:sz="8" w:color="auto"/>
            </w:tcBorders>
            <w:gridSpan w:val="5"/>
          </w:tcPr>
          <w:p>
            <w:pPr>
              <w:spacing w:after="0" w:line="183" w:lineRule="exact"/>
              <w:rPr>
                <w:sz w:val="20"/>
                <w:szCs w:val="20"/>
                <w:color w:val="auto"/>
              </w:rPr>
            </w:pPr>
            <w:r>
              <w:rPr>
                <w:rFonts w:ascii="Times New Roman" w:cs="Times New Roman" w:eastAsia="Times New Roman" w:hAnsi="Times New Roman"/>
                <w:sz w:val="20"/>
                <w:szCs w:val="20"/>
                <w:color w:val="auto"/>
                <w:w w:val="99"/>
              </w:rPr>
              <w:t>Detailed Description of Services and</w:t>
            </w:r>
          </w:p>
        </w:tc>
        <w:tc>
          <w:tcPr>
            <w:tcW w:w="680" w:type="dxa"/>
            <w:vAlign w:val="bottom"/>
            <w:tcBorders>
              <w:right w:val="single" w:sz="8" w:color="auto"/>
            </w:tcBorders>
          </w:tcPr>
          <w:p>
            <w:pPr>
              <w:spacing w:after="0"/>
              <w:rPr>
                <w:sz w:val="15"/>
                <w:szCs w:val="15"/>
                <w:color w:val="auto"/>
              </w:rPr>
            </w:pPr>
          </w:p>
        </w:tc>
        <w:tc>
          <w:tcPr>
            <w:tcW w:w="7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Consultant shall provide senior executive-level advisory and operational support to advance</w:t>
            </w:r>
          </w:p>
        </w:tc>
      </w:tr>
      <w:tr>
        <w:trPr>
          <w:trHeight w:val="210"/>
        </w:trPr>
        <w:tc>
          <w:tcPr>
            <w:tcW w:w="120" w:type="dxa"/>
            <w:vAlign w:val="bottom"/>
            <w:tcBorders>
              <w:left w:val="single" w:sz="8" w:color="auto"/>
            </w:tcBorders>
          </w:tcPr>
          <w:p>
            <w:pPr>
              <w:spacing w:after="0"/>
              <w:rPr>
                <w:sz w:val="18"/>
                <w:szCs w:val="18"/>
                <w:color w:val="auto"/>
              </w:rPr>
            </w:pPr>
          </w:p>
        </w:tc>
        <w:tc>
          <w:tcPr>
            <w:tcW w:w="3640" w:type="dxa"/>
            <w:vAlign w:val="bottom"/>
            <w:tcBorders>
              <w:right w:val="single" w:sz="8" w:color="auto"/>
            </w:tcBorders>
            <w:gridSpan w:val="6"/>
          </w:tcPr>
          <w:p>
            <w:pPr>
              <w:spacing w:after="0" w:line="209" w:lineRule="exact"/>
              <w:rPr>
                <w:sz w:val="20"/>
                <w:szCs w:val="20"/>
                <w:color w:val="auto"/>
              </w:rPr>
            </w:pPr>
            <w:r>
              <w:rPr>
                <w:rFonts w:ascii="Times New Roman" w:cs="Times New Roman" w:eastAsia="Times New Roman" w:hAnsi="Times New Roman"/>
                <w:sz w:val="20"/>
                <w:szCs w:val="20"/>
                <w:color w:val="auto"/>
              </w:rPr>
              <w:t>Deliverables to be provided:</w:t>
            </w:r>
          </w:p>
        </w:tc>
        <w:tc>
          <w:tcPr>
            <w:tcW w:w="74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0"/>
                <w:szCs w:val="20"/>
                <w:color w:val="auto"/>
              </w:rPr>
              <w:t>the Company’s investor relations strategy and clinical trial execution.</w:t>
            </w:r>
          </w:p>
        </w:tc>
      </w:tr>
      <w:tr>
        <w:trPr>
          <w:trHeight w:val="485"/>
        </w:trPr>
        <w:tc>
          <w:tcPr>
            <w:tcW w:w="120" w:type="dxa"/>
            <w:vAlign w:val="bottom"/>
            <w:tcBorders>
              <w:left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Consultant will perform additional Services as requested by Company from time to time.</w:t>
            </w: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480" w:type="dxa"/>
            <w:vAlign w:val="bottom"/>
            <w:tcBorders>
              <w:bottom w:val="single" w:sz="8" w:color="auto"/>
              <w:right w:val="single" w:sz="8" w:color="auto"/>
            </w:tcBorders>
          </w:tcPr>
          <w:p>
            <w:pPr>
              <w:spacing w:after="0"/>
              <w:rPr>
                <w:sz w:val="19"/>
                <w:szCs w:val="19"/>
                <w:color w:val="auto"/>
              </w:rPr>
            </w:pPr>
          </w:p>
        </w:tc>
      </w:tr>
      <w:tr>
        <w:trPr>
          <w:trHeight w:val="183"/>
        </w:trPr>
        <w:tc>
          <w:tcPr>
            <w:tcW w:w="120" w:type="dxa"/>
            <w:vAlign w:val="bottom"/>
            <w:tcBorders>
              <w:left w:val="single" w:sz="8" w:color="auto"/>
            </w:tcBorders>
          </w:tcPr>
          <w:p>
            <w:pPr>
              <w:spacing w:after="0"/>
              <w:rPr>
                <w:sz w:val="15"/>
                <w:szCs w:val="15"/>
                <w:color w:val="auto"/>
              </w:rPr>
            </w:pPr>
          </w:p>
        </w:tc>
        <w:tc>
          <w:tcPr>
            <w:tcW w:w="3640" w:type="dxa"/>
            <w:vAlign w:val="bottom"/>
            <w:tcBorders>
              <w:right w:val="single" w:sz="8" w:color="auto"/>
            </w:tcBorders>
            <w:gridSpan w:val="6"/>
          </w:tcPr>
          <w:p>
            <w:pPr>
              <w:spacing w:after="0" w:line="183" w:lineRule="exact"/>
              <w:rPr>
                <w:sz w:val="20"/>
                <w:szCs w:val="20"/>
                <w:color w:val="auto"/>
              </w:rPr>
            </w:pPr>
            <w:r>
              <w:rPr>
                <w:rFonts w:ascii="Times New Roman" w:cs="Times New Roman" w:eastAsia="Times New Roman" w:hAnsi="Times New Roman"/>
                <w:sz w:val="20"/>
                <w:szCs w:val="20"/>
                <w:color w:val="auto"/>
              </w:rPr>
              <w:t>Schedule and Amount of Payments:</w:t>
            </w:r>
          </w:p>
        </w:tc>
        <w:tc>
          <w:tcPr>
            <w:tcW w:w="7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So long as this Work Order remains in effect, Consultant’s fee will be Three Thousand</w:t>
            </w:r>
          </w:p>
        </w:tc>
      </w:tr>
      <w:tr>
        <w:trPr>
          <w:trHeight w:val="227"/>
        </w:trPr>
        <w:tc>
          <w:tcPr>
            <w:tcW w:w="120" w:type="dxa"/>
            <w:vAlign w:val="bottom"/>
            <w:tcBorders>
              <w:left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480" w:type="dxa"/>
            <w:vAlign w:val="bottom"/>
            <w:tcBorders>
              <w:right w:val="single" w:sz="8" w:color="auto"/>
            </w:tcBorders>
          </w:tcPr>
          <w:p>
            <w:pPr>
              <w:ind w:left="80"/>
              <w:spacing w:after="0" w:line="228" w:lineRule="exact"/>
              <w:rPr>
                <w:sz w:val="20"/>
                <w:szCs w:val="20"/>
                <w:color w:val="auto"/>
              </w:rPr>
            </w:pPr>
            <w:r>
              <w:rPr>
                <w:rFonts w:ascii="Times New Roman" w:cs="Times New Roman" w:eastAsia="Times New Roman" w:hAnsi="Times New Roman"/>
                <w:sz w:val="20"/>
                <w:szCs w:val="20"/>
                <w:color w:val="auto"/>
              </w:rPr>
              <w:t>USD ($3,000) per week at a rate of $300 per hour for no more than 10 hours per week.</w:t>
            </w:r>
          </w:p>
        </w:tc>
      </w:tr>
      <w:tr>
        <w:trPr>
          <w:trHeight w:val="258"/>
        </w:trPr>
        <w:tc>
          <w:tcPr>
            <w:tcW w:w="120" w:type="dxa"/>
            <w:vAlign w:val="bottom"/>
            <w:tcBorders>
              <w:left w:val="single" w:sz="8" w:color="auto"/>
            </w:tcBorders>
          </w:tcPr>
          <w:p>
            <w:pPr>
              <w:spacing w:after="0"/>
              <w:rPr>
                <w:sz w:val="22"/>
                <w:szCs w:val="22"/>
                <w:color w:val="auto"/>
              </w:rPr>
            </w:pPr>
          </w:p>
        </w:tc>
        <w:tc>
          <w:tcPr>
            <w:tcW w:w="1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Any additional Services agreed to by Consultant will be paid at the same hourly rate.</w:t>
            </w:r>
          </w:p>
        </w:tc>
      </w:tr>
      <w:tr>
        <w:trPr>
          <w:trHeight w:val="430"/>
        </w:trPr>
        <w:tc>
          <w:tcPr>
            <w:tcW w:w="120" w:type="dxa"/>
            <w:vAlign w:val="bottom"/>
            <w:tcBorders>
              <w:left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w w:val="99"/>
              </w:rPr>
              <w:t>During the Term of this Agreement, any stock option grants that Consultant received during</w:t>
            </w:r>
          </w:p>
        </w:tc>
      </w:tr>
      <w:tr>
        <w:trPr>
          <w:trHeight w:val="229"/>
        </w:trPr>
        <w:tc>
          <w:tcPr>
            <w:tcW w:w="120" w:type="dxa"/>
            <w:vAlign w:val="bottom"/>
            <w:tcBorders>
              <w:lef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his previous term of employment will remain exercisable (with no further vesting).</w:t>
            </w:r>
          </w:p>
        </w:tc>
      </w:tr>
      <w:tr>
        <w:trPr>
          <w:trHeight w:val="230"/>
        </w:trPr>
        <w:tc>
          <w:tcPr>
            <w:tcW w:w="120" w:type="dxa"/>
            <w:vAlign w:val="bottom"/>
            <w:tcBorders>
              <w:lef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Consistent with the terms of those grants, such stock options will remain exercisable for a</w:t>
            </w:r>
          </w:p>
        </w:tc>
      </w:tr>
      <w:tr>
        <w:trPr>
          <w:trHeight w:val="258"/>
        </w:trPr>
        <w:tc>
          <w:tcPr>
            <w:tcW w:w="120" w:type="dxa"/>
            <w:vAlign w:val="bottom"/>
            <w:tcBorders>
              <w:left w:val="single" w:sz="8" w:color="auto"/>
            </w:tcBorders>
          </w:tcPr>
          <w:p>
            <w:pPr>
              <w:spacing w:after="0"/>
              <w:rPr>
                <w:sz w:val="22"/>
                <w:szCs w:val="22"/>
                <w:color w:val="auto"/>
              </w:rPr>
            </w:pPr>
          </w:p>
        </w:tc>
        <w:tc>
          <w:tcPr>
            <w:tcW w:w="1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period of ninety (90) days after expiration or termination of the Agreement.</w:t>
            </w:r>
          </w:p>
        </w:tc>
      </w:tr>
      <w:tr>
        <w:trPr>
          <w:trHeight w:val="430"/>
        </w:trPr>
        <w:tc>
          <w:tcPr>
            <w:tcW w:w="120" w:type="dxa"/>
            <w:vAlign w:val="bottom"/>
            <w:tcBorders>
              <w:left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Consultant will invoice Company for all amounts due in United States Dollars. All</w:t>
            </w:r>
          </w:p>
        </w:tc>
      </w:tr>
      <w:tr>
        <w:trPr>
          <w:trHeight w:val="230"/>
        </w:trPr>
        <w:tc>
          <w:tcPr>
            <w:tcW w:w="120" w:type="dxa"/>
            <w:vAlign w:val="bottom"/>
            <w:tcBorders>
              <w:lef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undisputed payments will be made by Company within forty-five (45) days after its receipt</w:t>
            </w:r>
          </w:p>
        </w:tc>
      </w:tr>
      <w:tr>
        <w:trPr>
          <w:trHeight w:val="229"/>
        </w:trPr>
        <w:tc>
          <w:tcPr>
            <w:tcW w:w="120" w:type="dxa"/>
            <w:vAlign w:val="bottom"/>
            <w:tcBorders>
              <w:lef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of an invoice and reasonable supporting documentation for such invoice. Invoices will be</w:t>
            </w:r>
          </w:p>
        </w:tc>
      </w:tr>
      <w:tr>
        <w:trPr>
          <w:trHeight w:val="258"/>
        </w:trPr>
        <w:tc>
          <w:tcPr>
            <w:tcW w:w="120" w:type="dxa"/>
            <w:vAlign w:val="bottom"/>
            <w:tcBorders>
              <w:left w:val="single" w:sz="8" w:color="auto"/>
            </w:tcBorders>
          </w:tcPr>
          <w:p>
            <w:pPr>
              <w:spacing w:after="0"/>
              <w:rPr>
                <w:sz w:val="22"/>
                <w:szCs w:val="22"/>
                <w:color w:val="auto"/>
              </w:rPr>
            </w:pPr>
          </w:p>
        </w:tc>
        <w:tc>
          <w:tcPr>
            <w:tcW w:w="1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sent by electronic mail to Accounts Payable, AP@kymeratx.com.</w:t>
            </w:r>
          </w:p>
        </w:tc>
      </w:tr>
      <w:tr>
        <w:trPr>
          <w:trHeight w:val="430"/>
        </w:trPr>
        <w:tc>
          <w:tcPr>
            <w:tcW w:w="120" w:type="dxa"/>
            <w:vAlign w:val="bottom"/>
            <w:tcBorders>
              <w:left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Consultant acknowledges and agrees that Consultant’s judgment with respect to the</w:t>
            </w:r>
          </w:p>
        </w:tc>
      </w:tr>
      <w:tr>
        <w:trPr>
          <w:trHeight w:val="230"/>
        </w:trPr>
        <w:tc>
          <w:tcPr>
            <w:tcW w:w="120" w:type="dxa"/>
            <w:vAlign w:val="bottom"/>
            <w:tcBorders>
              <w:lef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Services will not be affected by the compensation received pursuant to this Work Order and</w:t>
            </w:r>
          </w:p>
        </w:tc>
      </w:tr>
      <w:tr>
        <w:trPr>
          <w:trHeight w:val="229"/>
        </w:trPr>
        <w:tc>
          <w:tcPr>
            <w:tcW w:w="120" w:type="dxa"/>
            <w:vAlign w:val="bottom"/>
            <w:tcBorders>
              <w:lef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that the payments made pursuant to this Work Order for Consultant’s performance of</w:t>
            </w:r>
          </w:p>
        </w:tc>
      </w:tr>
      <w:tr>
        <w:trPr>
          <w:trHeight w:val="230"/>
        </w:trPr>
        <w:tc>
          <w:tcPr>
            <w:tcW w:w="120" w:type="dxa"/>
            <w:vAlign w:val="bottom"/>
            <w:tcBorders>
              <w:lef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Services are consistent with arm’s length transactions, represent the fair market value of the</w:t>
            </w:r>
          </w:p>
        </w:tc>
      </w:tr>
      <w:tr>
        <w:trPr>
          <w:trHeight w:val="230"/>
        </w:trPr>
        <w:tc>
          <w:tcPr>
            <w:tcW w:w="120" w:type="dxa"/>
            <w:vAlign w:val="bottom"/>
            <w:tcBorders>
              <w:lef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Services and are not in exchange for an agreement by Consultant to prescribe, use or</w:t>
            </w:r>
          </w:p>
        </w:tc>
      </w:tr>
      <w:tr>
        <w:trPr>
          <w:trHeight w:val="258"/>
        </w:trPr>
        <w:tc>
          <w:tcPr>
            <w:tcW w:w="120" w:type="dxa"/>
            <w:vAlign w:val="bottom"/>
            <w:tcBorders>
              <w:left w:val="single" w:sz="8" w:color="auto"/>
            </w:tcBorders>
          </w:tcPr>
          <w:p>
            <w:pPr>
              <w:spacing w:after="0"/>
              <w:rPr>
                <w:sz w:val="22"/>
                <w:szCs w:val="22"/>
                <w:color w:val="auto"/>
              </w:rPr>
            </w:pPr>
          </w:p>
        </w:tc>
        <w:tc>
          <w:tcPr>
            <w:tcW w:w="1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recommend the prescription or use of any product(s).</w:t>
            </w: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48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Company and Consultant have duly executed this Work Order intending to be bound thereby.</w:t>
      </w:r>
    </w:p>
    <w:p>
      <w:pPr>
        <w:spacing w:after="0" w:line="200" w:lineRule="exact"/>
        <w:rPr>
          <w:sz w:val="20"/>
          <w:szCs w:val="20"/>
          <w:color w:val="auto"/>
        </w:rPr>
      </w:pPr>
    </w:p>
    <w:p>
      <w:pPr>
        <w:spacing w:after="0" w:line="259"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20"/>
          <w:szCs w:val="20"/>
          <w:b w:val="1"/>
          <w:bCs w:val="1"/>
          <w:color w:val="auto"/>
        </w:rPr>
        <w:t>K</w:t>
      </w:r>
      <w:r>
        <w:rPr>
          <w:rFonts w:ascii="Times New Roman" w:cs="Times New Roman" w:eastAsia="Times New Roman" w:hAnsi="Times New Roman"/>
          <w:sz w:val="13"/>
          <w:szCs w:val="13"/>
          <w:b w:val="1"/>
          <w:bCs w:val="1"/>
          <w:color w:val="auto"/>
        </w:rPr>
        <w:t>ymera</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19"/>
          <w:szCs w:val="19"/>
          <w:b w:val="1"/>
          <w:bCs w:val="1"/>
          <w:color w:val="auto"/>
        </w:rPr>
        <w:t>Jared Gollob,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Nello Mainolfi</w:t>
            </w:r>
          </w:p>
        </w:tc>
        <w:tc>
          <w:tcPr>
            <w:tcW w:w="1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By:</w:t>
            </w:r>
          </w:p>
        </w:tc>
        <w:tc>
          <w:tcPr>
            <w:tcW w:w="3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Jared Gollob</w:t>
            </w:r>
          </w:p>
        </w:tc>
      </w:tr>
      <w:tr>
        <w:trPr>
          <w:trHeight w:val="912"/>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Nello Mainolfi</w:t>
            </w:r>
          </w:p>
        </w:tc>
        <w:tc>
          <w:tcPr>
            <w:tcW w:w="1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Print Name:</w:t>
            </w:r>
          </w:p>
        </w:tc>
        <w:tc>
          <w:tcPr>
            <w:tcW w:w="3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Jared Gollob</w:t>
            </w:r>
          </w:p>
        </w:tc>
      </w:tr>
      <w:tr>
        <w:trPr>
          <w:trHeight w:val="659"/>
        </w:trPr>
        <w:tc>
          <w:tcPr>
            <w:tcW w:w="1740" w:type="dxa"/>
            <w:vAlign w:val="bottom"/>
          </w:tcPr>
          <w:p>
            <w:pPr>
              <w:spacing w:after="0"/>
              <w:rPr>
                <w:sz w:val="24"/>
                <w:szCs w:val="24"/>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Founder, President &amp; Chief Executive</w:t>
            </w:r>
          </w:p>
        </w:tc>
        <w:tc>
          <w:tcPr>
            <w:tcW w:w="18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52"/>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Officer</w:t>
            </w:r>
          </w:p>
        </w:tc>
        <w:tc>
          <w:tcPr>
            <w:tcW w:w="1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3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Consultant</w:t>
            </w:r>
          </w:p>
        </w:tc>
      </w:tr>
      <w:tr>
        <w:trPr>
          <w:trHeight w:val="912"/>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680" w:type="dxa"/>
            <w:vAlign w:val="bottom"/>
            <w:tcBorders>
              <w:bottom w:val="single" w:sz="8" w:color="auto"/>
            </w:tcBorders>
          </w:tcPr>
          <w:p>
            <w:pPr>
              <w:spacing w:after="0"/>
              <w:rPr>
                <w:sz w:val="24"/>
                <w:szCs w:val="24"/>
                <w:color w:val="auto"/>
              </w:rPr>
            </w:pPr>
          </w:p>
        </w:tc>
        <w:tc>
          <w:tcPr>
            <w:tcW w:w="1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3760" w:type="dxa"/>
            <w:vAlign w:val="bottom"/>
            <w:tcBorders>
              <w:bottom w:val="single" w:sz="8" w:color="auto"/>
            </w:tcBorders>
          </w:tcPr>
          <w:p>
            <w:pPr>
              <w:spacing w:after="0"/>
              <w:rPr>
                <w:sz w:val="24"/>
                <w:szCs w:val="24"/>
                <w:color w:val="auto"/>
              </w:rPr>
            </w:pPr>
          </w:p>
        </w:tc>
      </w:tr>
      <w:tr>
        <w:trPr>
          <w:trHeight w:val="911"/>
        </w:trPr>
        <w:tc>
          <w:tcPr>
            <w:tcW w:w="1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Address:</w:t>
            </w:r>
          </w:p>
        </w:tc>
        <w:tc>
          <w:tcPr>
            <w:tcW w:w="37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489585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20" w:top="1409" w:right="4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Nello Mainolfi, Ph.D., certify that:</w:t>
      </w:r>
    </w:p>
    <w:p>
      <w:pPr>
        <w:spacing w:after="0" w:line="225"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3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Nello Mainolfi, Ph.D.</w:t>
            </w:r>
          </w:p>
        </w:tc>
      </w:tr>
      <w:tr>
        <w:trPr>
          <w:trHeight w:val="187"/>
        </w:trPr>
        <w:tc>
          <w:tcPr>
            <w:tcW w:w="37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r>
        <w:trPr>
          <w:trHeight w:val="216"/>
        </w:trPr>
        <w:tc>
          <w:tcPr>
            <w:tcW w:w="3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411"/>
        </w:trPr>
        <w:tc>
          <w:tcPr>
            <w:tcW w:w="37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Jacobs, CFA, MBA, certify that:</w:t>
      </w:r>
    </w:p>
    <w:p>
      <w:pPr>
        <w:spacing w:after="0" w:line="225"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3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Jacobs, CFO, MBA</w:t>
            </w:r>
          </w:p>
        </w:tc>
      </w:tr>
      <w:tr>
        <w:trPr>
          <w:trHeight w:val="187"/>
        </w:trPr>
        <w:tc>
          <w:tcPr>
            <w:tcW w:w="37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Bruce Jacobs, CFO, MBA</w:t>
            </w:r>
          </w:p>
        </w:tc>
      </w:tr>
      <w:tr>
        <w:trPr>
          <w:trHeight w:val="216"/>
        </w:trPr>
        <w:tc>
          <w:tcPr>
            <w:tcW w:w="3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1195"/>
        </w:trPr>
        <w:tc>
          <w:tcPr>
            <w:tcW w:w="37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September 30,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Nello Mainolfi, Ph.D.</w:t>
            </w:r>
          </w:p>
        </w:tc>
      </w:tr>
      <w:tr>
        <w:trPr>
          <w:trHeight w:val="187"/>
        </w:trPr>
        <w:tc>
          <w:tcPr>
            <w:tcW w:w="36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r>
        <w:trPr>
          <w:trHeight w:val="216"/>
        </w:trPr>
        <w:tc>
          <w:tcPr>
            <w:tcW w:w="3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6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195"/>
        </w:trPr>
        <w:tc>
          <w:tcPr>
            <w:tcW w:w="36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September 30,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Jacobs, CFA, MBA</w:t>
            </w:r>
          </w:p>
        </w:tc>
      </w:tr>
      <w:tr>
        <w:trPr>
          <w:trHeight w:val="187"/>
        </w:trPr>
        <w:tc>
          <w:tcPr>
            <w:tcW w:w="36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Bruce Jacobs, CFA, MBA</w:t>
            </w:r>
          </w:p>
        </w:tc>
      </w:tr>
      <w:tr>
        <w:trPr>
          <w:trHeight w:val="216"/>
        </w:trPr>
        <w:tc>
          <w:tcPr>
            <w:tcW w:w="3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6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1195"/>
        </w:trPr>
        <w:tc>
          <w:tcPr>
            <w:tcW w:w="36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0" w:name="page111"/>
    <w:bookmarkEnd w:id="1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decimal"/>
      <w:start w:val="9"/>
    </w:lvl>
  </w:abstractNum>
  <w:abstractNum w:abstractNumId="7">
    <w:nsid w:val="3006C83E"/>
    <w:multiLevelType w:val="hybridMultilevel"/>
    <w:lvl w:ilvl="0">
      <w:lvlJc w:val="left"/>
      <w:lvlText w:val="%1."/>
      <w:numFmt w:val="decimal"/>
      <w:start w:val="1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decimal"/>
      <w:start w:val="485"/>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3"/>
    </w:lvl>
    <w:lvl w:ilvl="1">
      <w:lvlJc w:val="left"/>
      <w:lvlText w:val="(%2)"/>
      <w:numFmt w:val="lowerLetter"/>
      <w:start w:val="1"/>
    </w:lvl>
  </w:abstractNum>
  <w:abstractNum w:abstractNumId="49">
    <w:nsid w:val="4F4EF005"/>
    <w:multiLevelType w:val="hybridMultilevel"/>
    <w:lvl w:ilvl="0">
      <w:lvlJc w:val="left"/>
      <w:lvlText w:val="%1"/>
      <w:numFmt w:val="decimal"/>
      <w:start w:val="1"/>
    </w:lvl>
    <w:lvl w:ilvl="1">
      <w:lvlJc w:val="left"/>
      <w:lvlText w:val="(%2)"/>
      <w:numFmt w:val="lowerLetter"/>
      <w:start w:val="2"/>
    </w:lvl>
  </w:abstractNum>
  <w:abstractNum w:abstractNumId="50">
    <w:nsid w:val="23F9C13C"/>
    <w:multiLevelType w:val="hybridMultilevel"/>
    <w:lvl w:ilvl="0">
      <w:lvlJc w:val="left"/>
      <w:lvlText w:val="%1."/>
      <w:numFmt w:val="decimal"/>
      <w:start w:val="6"/>
    </w:lvl>
    <w:lvl w:ilvl="1">
      <w:lvlJc w:val="left"/>
      <w:lvlText w:val="%2"/>
      <w:numFmt w:val="lowerLetter"/>
      <w:start w:val="1"/>
    </w:lvl>
  </w:abstractNum>
  <w:abstractNum w:abstractNumId="51">
    <w:nsid w:val="649BB77C"/>
    <w:multiLevelType w:val="hybridMultilevel"/>
    <w:lvl w:ilvl="0">
      <w:lvlJc w:val="left"/>
      <w:lvlText w:val="%1."/>
      <w:numFmt w:val="decimal"/>
      <w:start w:val="7"/>
    </w:lvl>
    <w:lvl w:ilvl="1">
      <w:lvlJc w:val="left"/>
      <w:lvlText w:val="(%2)"/>
      <w:numFmt w:val="lowerLetter"/>
      <w:start w:val="1"/>
    </w:lvl>
  </w:abstractNum>
  <w:abstractNum w:abstractNumId="52">
    <w:nsid w:val="275AC794"/>
    <w:multiLevelType w:val="hybridMultilevel"/>
    <w:lvl w:ilvl="0">
      <w:lvlJc w:val="left"/>
      <w:lvlText w:val="%1"/>
      <w:numFmt w:val="decimal"/>
      <w:start w:val="1"/>
    </w:lvl>
    <w:lvl w:ilvl="1">
      <w:lvlJc w:val="left"/>
      <w:lvlText w:val="(%2)"/>
      <w:numFmt w:val="lowerLetter"/>
      <w:start w:val="7"/>
    </w:lvl>
  </w:abstractNum>
  <w:abstractNum w:abstractNumId="53">
    <w:nsid w:val="39386575"/>
    <w:multiLevelType w:val="hybridMultilevel"/>
    <w:lvl w:ilvl="0">
      <w:lvlJc w:val="left"/>
      <w:lvlText w:val="%1."/>
      <w:numFmt w:val="decimal"/>
      <w:start w:val="9"/>
    </w:lvl>
    <w:lvl w:ilvl="1">
      <w:lvlJc w:val="left"/>
      <w:lvlText w:val="%2"/>
      <w:numFmt w:val="lowerLetter"/>
      <w:start w:val="1"/>
    </w:lvl>
  </w:abstractNum>
  <w:abstractNum w:abstractNumId="54">
    <w:nsid w:val="1CF10FD8"/>
    <w:multiLevelType w:val="hybridMultilevel"/>
    <w:lvl w:ilvl="0">
      <w:lvlJc w:val="left"/>
      <w:lvlText w:val="%1."/>
      <w:numFmt w:val="decimal"/>
      <w:start w:val="13"/>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2026-10-29T06:19:35Z</dcterms:created>
  <dcterms:modified xsi:type="dcterms:W3CDTF">2026-10-29T06:19:35Z</dcterms:modified>
</cp:coreProperties>
</file>